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Title"/>
      <w:bookmarkEnd w:id="0"/>
      <w:bookmarkStart w:id="1" w:name="DocumentFor"/>
      <w:bookmarkEnd w:id="1"/>
      <w:r>
        <w:rPr>
          <w:rFonts w:hint="default" w:ascii="Times New Roman" w:hAnsi="Times New Roman" w:cs="Times New Roman"/>
          <w:b/>
          <w:sz w:val="24"/>
          <w:lang w:eastAsia="ja-JP"/>
        </w:rPr>
        <w:t>3GPP TSG RAN WG2#12</w:t>
      </w:r>
      <w:r>
        <w:rPr>
          <w:rFonts w:hint="default" w:ascii="Times New Roman" w:hAnsi="Times New Roman" w:cs="Times New Roman"/>
          <w:b/>
          <w:sz w:val="24"/>
          <w:lang w:val="en-IN" w:eastAsia="ja-JP"/>
        </w:rPr>
        <w:t>8</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R2-24</w:t>
      </w:r>
      <w:r>
        <w:rPr>
          <w:rFonts w:hint="default" w:ascii="Times New Roman" w:hAnsi="Times New Roman" w:cs="Times New Roman"/>
          <w:b/>
          <w:sz w:val="24"/>
          <w:lang w:val="en-IN" w:eastAsia="ja-JP"/>
        </w:rPr>
        <w:t>09863</w:t>
      </w:r>
    </w:p>
    <w:p w14:paraId="49F1401E">
      <w:pPr>
        <w:pStyle w:val="54"/>
        <w:jc w:val="left"/>
        <w:rPr>
          <w:rFonts w:hint="default" w:ascii="Times New Roman" w:hAnsi="Times New Roman" w:cs="Times New Roman"/>
          <w:sz w:val="22"/>
          <w:szCs w:val="22"/>
          <w:lang w:val="en-US"/>
        </w:rPr>
      </w:pPr>
      <w:r>
        <w:rPr>
          <w:rFonts w:hint="default" w:ascii="Times New Roman" w:hAnsi="Times New Roman" w:cs="Times New Roman"/>
          <w:b/>
          <w:sz w:val="24"/>
          <w:lang w:val="en-IN" w:eastAsia="ja-JP"/>
        </w:rPr>
        <w:t>Orlando</w:t>
      </w:r>
      <w:r>
        <w:rPr>
          <w:rFonts w:hint="default" w:ascii="Times New Roman" w:hAnsi="Times New Roman" w:cs="Times New Roman"/>
          <w:b/>
          <w:sz w:val="24"/>
          <w:lang w:eastAsia="ja-JP"/>
        </w:rPr>
        <w:t xml:space="preserve">, </w:t>
      </w:r>
      <w:r>
        <w:rPr>
          <w:rFonts w:hint="default" w:ascii="Times New Roman" w:hAnsi="Times New Roman" w:cs="Times New Roman"/>
          <w:b/>
          <w:sz w:val="24"/>
          <w:lang w:val="en-IN" w:eastAsia="ja-JP"/>
        </w:rPr>
        <w:t>US</w:t>
      </w:r>
      <w:r>
        <w:rPr>
          <w:rFonts w:hint="default" w:ascii="Times New Roman" w:hAnsi="Times New Roman" w:cs="Times New Roman"/>
          <w:b/>
          <w:sz w:val="24"/>
          <w:lang w:eastAsia="ja-JP"/>
        </w:rPr>
        <w:t>, 1</w:t>
      </w:r>
      <w:r>
        <w:rPr>
          <w:rFonts w:hint="default" w:ascii="Times New Roman" w:hAnsi="Times New Roman" w:cs="Times New Roman"/>
          <w:b/>
          <w:sz w:val="24"/>
          <w:lang w:val="en-IN" w:eastAsia="ja-JP"/>
        </w:rPr>
        <w:t>8</w:t>
      </w:r>
      <w:r>
        <w:rPr>
          <w:rFonts w:hint="default" w:ascii="Times New Roman" w:hAnsi="Times New Roman" w:cs="Times New Roman"/>
          <w:b/>
          <w:sz w:val="24"/>
          <w:lang w:eastAsia="ja-JP"/>
        </w:rPr>
        <w:t xml:space="preserve">th - </w:t>
      </w:r>
      <w:r>
        <w:rPr>
          <w:rFonts w:hint="default" w:ascii="Times New Roman" w:hAnsi="Times New Roman" w:cs="Times New Roman"/>
          <w:b/>
          <w:sz w:val="24"/>
          <w:lang w:val="en-IN" w:eastAsia="ja-JP"/>
        </w:rPr>
        <w:t>22</w:t>
      </w:r>
      <w:r>
        <w:rPr>
          <w:rFonts w:hint="default" w:ascii="Times New Roman" w:hAnsi="Times New Roman" w:cs="Times New Roman"/>
          <w:b/>
          <w:sz w:val="24"/>
          <w:lang w:eastAsia="ja-JP"/>
        </w:rPr>
        <w:t xml:space="preserve">th </w:t>
      </w:r>
      <w:r>
        <w:rPr>
          <w:rFonts w:hint="default" w:ascii="Times New Roman" w:hAnsi="Times New Roman" w:cs="Times New Roman"/>
          <w:b/>
          <w:sz w:val="24"/>
          <w:lang w:val="en-IN" w:eastAsia="ja-JP"/>
        </w:rPr>
        <w:t>November</w:t>
      </w:r>
      <w:r>
        <w:rPr>
          <w:rFonts w:hint="default" w:ascii="Times New Roman" w:hAnsi="Times New Roman" w:cs="Times New Roman"/>
          <w:b/>
          <w:sz w:val="24"/>
          <w:lang w:eastAsia="ja-JP"/>
        </w:rPr>
        <w:t xml:space="preserve"> 2024</w:t>
      </w:r>
    </w:p>
    <w:p w14:paraId="12FA2811">
      <w:pPr>
        <w:pStyle w:val="54"/>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8.6.2</w:t>
      </w:r>
    </w:p>
    <w:p w14:paraId="777C997F">
      <w:pPr>
        <w:pStyle w:val="54"/>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4"/>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Inter CU LTM </w:t>
      </w:r>
    </w:p>
    <w:p w14:paraId="55A24722">
      <w:pPr>
        <w:pStyle w:val="54"/>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At last meeting, we discussed inter-CU LTM and made the following agreements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C0BE200">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Agreements on inter-CU LTM</w:t>
            </w:r>
            <w:r>
              <w:rPr>
                <w:rFonts w:hint="default" w:ascii="Times New Roman" w:hAnsi="Times New Roman" w:cs="Times New Roman"/>
                <w:b/>
                <w:bCs w:val="0"/>
                <w:lang w:val="en-IN"/>
              </w:rPr>
              <w:t xml:space="preserve"> #RAN2 127bis:</w:t>
            </w:r>
          </w:p>
          <w:p w14:paraId="509BADFB">
            <w:pPr>
              <w:numPr>
                <w:ilvl w:val="0"/>
                <w:numId w:val="0"/>
              </w:numPr>
              <w:spacing w:after="0"/>
              <w:rPr>
                <w:rFonts w:hint="default" w:ascii="Times New Roman" w:hAnsi="Times New Roman" w:cs="Times New Roman"/>
                <w:b w:val="0"/>
                <w:bCs/>
              </w:rPr>
            </w:pPr>
          </w:p>
          <w:p w14:paraId="1FCEA350">
            <w:pPr>
              <w:numPr>
                <w:ilvl w:val="0"/>
                <w:numId w:val="15"/>
              </w:numPr>
              <w:spacing w:after="0"/>
              <w:rPr>
                <w:rFonts w:hint="default" w:ascii="Times New Roman" w:hAnsi="Times New Roman"/>
                <w:bCs/>
              </w:rPr>
            </w:pPr>
            <w:r>
              <w:rPr>
                <w:rFonts w:hint="default" w:ascii="Times New Roman" w:hAnsi="Times New Roman"/>
                <w:bCs/>
              </w:rPr>
              <w:t>The Rel18 handling on failure is reused in R19 if the UE selects an intra-CU LTM candidate cell after intra-CU LTM failure; for other cases, e.g. inter-CU LTM failure, the failure handling is FFS (related to SA3’s inputs).</w:t>
            </w:r>
          </w:p>
          <w:p w14:paraId="35B7EBE0">
            <w:pPr>
              <w:numPr>
                <w:ilvl w:val="0"/>
                <w:numId w:val="0"/>
              </w:numPr>
              <w:spacing w:after="0"/>
              <w:rPr>
                <w:rFonts w:hint="default" w:ascii="Times New Roman" w:hAnsi="Times New Roman"/>
                <w:bCs/>
              </w:rPr>
            </w:pPr>
          </w:p>
          <w:p w14:paraId="1D40C012">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For non-DC case, if the new Rel-19 IDs of the serving cell and the target cell have same values, the UE compares the ltm-ServingCellNoResetID and ltm-NoResetID and performs the corresponding L2 reset operation as defined in Rel-18.</w:t>
            </w:r>
          </w:p>
          <w:p w14:paraId="360F40F0">
            <w:pPr>
              <w:numPr>
                <w:ilvl w:val="0"/>
                <w:numId w:val="0"/>
              </w:numPr>
              <w:spacing w:after="0"/>
              <w:ind w:leftChars="0"/>
              <w:rPr>
                <w:rFonts w:hint="default" w:ascii="Times New Roman" w:hAnsi="Times New Roman"/>
                <w:bCs/>
              </w:rPr>
            </w:pPr>
          </w:p>
          <w:p w14:paraId="72EA9D65">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The SCPAC-similar security update configuration is introduced for inter-CU SCG LTM, i.e. similar to IEs sk-CounterConfiguration, servingSecurityCellSetId and securityCellSetId. The names of the new IEs are to be discussed in stage3.</w:t>
            </w:r>
          </w:p>
          <w:p w14:paraId="329F09E5">
            <w:pPr>
              <w:numPr>
                <w:ilvl w:val="0"/>
                <w:numId w:val="0"/>
              </w:numPr>
              <w:spacing w:after="0"/>
              <w:ind w:leftChars="0"/>
              <w:rPr>
                <w:rFonts w:hint="default" w:ascii="Times New Roman" w:hAnsi="Times New Roman"/>
                <w:bCs/>
              </w:rPr>
            </w:pPr>
          </w:p>
          <w:p w14:paraId="0D384BC7">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Regarding the candidate and reference configuration generation and signaling design, the following SCPAC-similar principles can be applied for inter-CU SCG LTM as baseline:</w:t>
            </w:r>
          </w:p>
          <w:p w14:paraId="7F13F926">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The reference configuration for inter-CU SCG LTM at least include SCG part, FFS on MCG part.</w:t>
            </w:r>
          </w:p>
          <w:p w14:paraId="79664595">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FFS: Network ensures that when UE combines the reference and candidate configuration for inter-CU SCG LTM, the configuration generated by UE must contain both MCG and SCG part configurations.</w:t>
            </w:r>
          </w:p>
          <w:p w14:paraId="325A8DF5">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The candidate configuration and reference configuration are modeled as an MN RRCReconfiguration message.</w:t>
            </w:r>
          </w:p>
          <w:p w14:paraId="1B0094D2">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Upon inter-CU SCG LTM, the UE performs reconfiguration with sync towards SCG, but the reconfiguration with sync in MCG is not allowed.</w:t>
            </w:r>
          </w:p>
          <w:p w14:paraId="2CDFCC29">
            <w:pPr>
              <w:numPr>
                <w:ilvl w:val="0"/>
                <w:numId w:val="0"/>
              </w:numPr>
              <w:spacing w:after="0"/>
              <w:ind w:firstLine="600" w:firstLineChars="300"/>
              <w:rPr>
                <w:rFonts w:hint="default" w:ascii="Times New Roman" w:hAnsi="Times New Roman"/>
                <w:bCs/>
              </w:rPr>
            </w:pPr>
            <w:r>
              <w:rPr>
                <w:rFonts w:hint="default" w:ascii="Times New Roman" w:hAnsi="Times New Roman"/>
                <w:bCs/>
              </w:rPr>
              <w:t>- The MN generates the MCG part of the reference configuration (if any), while the SN (source or candidate) generates the SCG part of the reference configuration.</w:t>
            </w:r>
          </w:p>
          <w:p w14:paraId="39C801C0">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The MN is responsible for the reference configuration generation for SN initiated inter-CU SCG LTM. It can be up to the NW implementation whether to include the MCG part.</w:t>
            </w:r>
          </w:p>
          <w:p w14:paraId="4B939872">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The MN can request an SCG reference configuration from any of the involved SNs.</w:t>
            </w:r>
          </w:p>
          <w:p w14:paraId="125131C3">
            <w:pPr>
              <w:numPr>
                <w:ilvl w:val="0"/>
                <w:numId w:val="0"/>
              </w:numPr>
              <w:spacing w:after="0"/>
              <w:rPr>
                <w:rFonts w:hint="default" w:ascii="Times New Roman" w:hAnsi="Times New Roman"/>
                <w:bCs/>
              </w:rPr>
            </w:pPr>
          </w:p>
          <w:p w14:paraId="76DFE1B4">
            <w:pPr>
              <w:numPr>
                <w:ilvl w:val="0"/>
                <w:numId w:val="0"/>
              </w:numPr>
              <w:spacing w:after="0"/>
              <w:ind w:leftChars="0"/>
              <w:rPr>
                <w:rFonts w:hint="default" w:ascii="Times New Roman" w:hAnsi="Times New Roman"/>
                <w:bCs/>
              </w:rPr>
            </w:pPr>
            <w:r>
              <w:rPr>
                <w:rFonts w:hint="default" w:ascii="Times New Roman" w:hAnsi="Times New Roman"/>
                <w:bCs/>
                <w:lang w:val="en-IN"/>
              </w:rPr>
              <w:t xml:space="preserve">5. </w:t>
            </w:r>
            <w:r>
              <w:rPr>
                <w:rFonts w:hint="default" w:ascii="Times New Roman" w:hAnsi="Times New Roman"/>
                <w:bCs/>
              </w:rPr>
              <w:t>For SN initiated inter-CU SCG LTM, the candidate SN provides the SCG part configuration of each candidate PSCell, and may also provide the L1 RS (e.g. a list of SSB or a list of CSI-RS) configuration for L1 measurement, early UL sync configuration or TCI-state configuration, to the MN.</w:t>
            </w:r>
          </w:p>
          <w:p w14:paraId="6CCEAF47">
            <w:pPr>
              <w:numPr>
                <w:ilvl w:val="0"/>
                <w:numId w:val="0"/>
              </w:numPr>
              <w:spacing w:after="0"/>
              <w:ind w:leftChars="0"/>
              <w:rPr>
                <w:rFonts w:hint="default" w:ascii="Times New Roman" w:hAnsi="Times New Roman"/>
                <w:bCs/>
              </w:rPr>
            </w:pPr>
          </w:p>
          <w:p w14:paraId="76A03E28">
            <w:pPr>
              <w:numPr>
                <w:ilvl w:val="0"/>
                <w:numId w:val="0"/>
              </w:numPr>
              <w:spacing w:after="0"/>
              <w:ind w:leftChars="0"/>
              <w:rPr>
                <w:rFonts w:hint="default" w:ascii="Times New Roman" w:hAnsi="Times New Roman"/>
                <w:bCs/>
              </w:rPr>
            </w:pPr>
            <w:r>
              <w:rPr>
                <w:rFonts w:hint="default" w:ascii="Times New Roman" w:hAnsi="Times New Roman"/>
                <w:bCs/>
                <w:lang w:val="en-IN"/>
              </w:rPr>
              <w:t xml:space="preserve">6. </w:t>
            </w:r>
            <w:r>
              <w:rPr>
                <w:rFonts w:hint="default" w:ascii="Times New Roman" w:hAnsi="Times New Roman"/>
                <w:bCs/>
              </w:rPr>
              <w:t>The source SN is responsible to generate the common CSI resource configuration for L1 measurement on candidate SCG cells.</w:t>
            </w:r>
          </w:p>
          <w:p w14:paraId="2DB82B8B">
            <w:pPr>
              <w:numPr>
                <w:ilvl w:val="0"/>
                <w:numId w:val="0"/>
              </w:numPr>
              <w:spacing w:after="0"/>
              <w:ind w:leftChars="0"/>
              <w:rPr>
                <w:rFonts w:hint="default" w:ascii="Times New Roman" w:hAnsi="Times New Roman"/>
                <w:bCs/>
              </w:rPr>
            </w:pPr>
          </w:p>
          <w:p w14:paraId="628B949B">
            <w:pPr>
              <w:numPr>
                <w:ilvl w:val="0"/>
                <w:numId w:val="16"/>
              </w:numPr>
              <w:spacing w:after="0"/>
              <w:rPr>
                <w:rFonts w:hint="default" w:ascii="Times New Roman" w:hAnsi="Times New Roman"/>
                <w:bCs/>
              </w:rPr>
            </w:pPr>
            <w:r>
              <w:rPr>
                <w:rFonts w:hint="default" w:ascii="Times New Roman" w:hAnsi="Times New Roman"/>
                <w:bCs/>
              </w:rPr>
              <w:t>The MN sends the received L1 RS configuration, early UL sync configuration, or TCI-state configuration of candidate cells to the source SN. And the source SN responds with the common CSI resource configuration to the MN.</w:t>
            </w:r>
          </w:p>
          <w:p w14:paraId="659DA2CF">
            <w:pPr>
              <w:numPr>
                <w:ilvl w:val="0"/>
                <w:numId w:val="0"/>
              </w:numPr>
              <w:spacing w:after="0"/>
              <w:rPr>
                <w:rFonts w:hint="default" w:ascii="Times New Roman" w:hAnsi="Times New Roman"/>
                <w:bCs/>
              </w:rPr>
            </w:pPr>
          </w:p>
          <w:p w14:paraId="6FB9644F">
            <w:pPr>
              <w:numPr>
                <w:ilvl w:val="0"/>
                <w:numId w:val="0"/>
              </w:numPr>
              <w:spacing w:after="0"/>
              <w:rPr>
                <w:rFonts w:hint="default" w:ascii="Times New Roman" w:hAnsi="Times New Roman"/>
                <w:bCs/>
              </w:rPr>
            </w:pPr>
            <w:r>
              <w:rPr>
                <w:rFonts w:hint="default" w:ascii="Times New Roman" w:hAnsi="Times New Roman"/>
                <w:bCs/>
              </w:rPr>
              <w:t>8.</w:t>
            </w:r>
            <w:r>
              <w:rPr>
                <w:rFonts w:hint="default" w:ascii="Times New Roman" w:hAnsi="Times New Roman"/>
                <w:bCs/>
              </w:rPr>
              <w:tab/>
            </w:r>
            <w:r>
              <w:rPr>
                <w:rFonts w:hint="default" w:ascii="Times New Roman" w:hAnsi="Times New Roman"/>
                <w:bCs/>
              </w:rPr>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1890EFB0">
            <w:pPr>
              <w:numPr>
                <w:ilvl w:val="0"/>
                <w:numId w:val="0"/>
              </w:numPr>
              <w:spacing w:after="0"/>
              <w:rPr>
                <w:rFonts w:hint="default" w:ascii="Times New Roman" w:hAnsi="Times New Roman"/>
                <w:bCs/>
              </w:rPr>
            </w:pPr>
          </w:p>
          <w:p w14:paraId="0DEEC975">
            <w:pPr>
              <w:numPr>
                <w:ilvl w:val="0"/>
                <w:numId w:val="0"/>
              </w:numPr>
              <w:spacing w:after="0"/>
              <w:rPr>
                <w:rFonts w:hint="default" w:ascii="Times New Roman" w:hAnsi="Times New Roman"/>
                <w:bCs/>
              </w:rPr>
            </w:pPr>
            <w:r>
              <w:rPr>
                <w:rFonts w:hint="default" w:ascii="Times New Roman" w:hAnsi="Times New Roman"/>
                <w:bCs/>
              </w:rPr>
              <w:t>9.</w:t>
            </w:r>
            <w:r>
              <w:rPr>
                <w:rFonts w:hint="default" w:ascii="Times New Roman" w:hAnsi="Times New Roman"/>
                <w:bCs/>
              </w:rPr>
              <w:tab/>
            </w:r>
            <w:r>
              <w:rPr>
                <w:rFonts w:hint="default" w:ascii="Times New Roman" w:hAnsi="Times New Roman"/>
                <w:bCs/>
              </w:rPr>
              <w:t>Upon execution of inter-SN SCG LTM, the UE sends an MN RRCReconfigurationComplete message to the MN, which includes an SN RRCReconfigurationComplete message.</w:t>
            </w:r>
          </w:p>
          <w:p w14:paraId="66B77E4F">
            <w:pPr>
              <w:numPr>
                <w:ilvl w:val="0"/>
                <w:numId w:val="0"/>
              </w:numPr>
              <w:spacing w:after="0"/>
              <w:rPr>
                <w:rFonts w:hint="default" w:ascii="Times New Roman" w:hAnsi="Times New Roman"/>
                <w:bCs/>
              </w:rPr>
            </w:pPr>
          </w:p>
          <w:p w14:paraId="63E50740">
            <w:pPr>
              <w:numPr>
                <w:ilvl w:val="0"/>
                <w:numId w:val="17"/>
              </w:numPr>
              <w:spacing w:after="0"/>
              <w:rPr>
                <w:rFonts w:hint="default" w:ascii="Times New Roman" w:hAnsi="Times New Roman"/>
                <w:bCs/>
              </w:rPr>
            </w:pPr>
            <w:r>
              <w:rPr>
                <w:rFonts w:hint="default" w:ascii="Times New Roman" w:hAnsi="Times New Roman"/>
                <w:bCs/>
              </w:rPr>
              <w:t>Re-use legacy LTM Cell Switch Command MAC CE for inter-SN LTM.</w:t>
            </w:r>
          </w:p>
          <w:p w14:paraId="20D536CA">
            <w:pPr>
              <w:numPr>
                <w:ilvl w:val="0"/>
                <w:numId w:val="0"/>
              </w:numPr>
              <w:spacing w:after="0"/>
              <w:rPr>
                <w:rFonts w:hint="default" w:ascii="Times New Roman" w:hAnsi="Times New Roman"/>
                <w:bCs/>
              </w:rPr>
            </w:pPr>
          </w:p>
          <w:p w14:paraId="6F56941C">
            <w:pPr>
              <w:numPr>
                <w:ilvl w:val="0"/>
                <w:numId w:val="0"/>
              </w:numPr>
              <w:spacing w:after="0"/>
              <w:rPr>
                <w:rFonts w:hint="default" w:ascii="Times New Roman" w:hAnsi="Times New Roman"/>
                <w:bCs/>
              </w:rPr>
            </w:pPr>
            <w:r>
              <w:rPr>
                <w:rFonts w:hint="default" w:ascii="Times New Roman" w:hAnsi="Times New Roman"/>
                <w:bCs/>
              </w:rPr>
              <w:t>11.</w:t>
            </w:r>
            <w:r>
              <w:rPr>
                <w:rFonts w:hint="default" w:ascii="Times New Roman" w:hAnsi="Times New Roman"/>
                <w:bCs/>
              </w:rPr>
              <w:tab/>
            </w:r>
            <w:r>
              <w:rPr>
                <w:rFonts w:hint="default" w:ascii="Times New Roman" w:hAnsi="Times New Roman"/>
                <w:bCs/>
              </w:rPr>
              <w:t>RAN2 confirms to support coexistence of following cases, it is up to network implementation to ensure simultaneous execution for both MCG and SCG will not happen:</w:t>
            </w:r>
          </w:p>
          <w:p w14:paraId="08A065C6">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Inter-MN LTM and intra-SN LTM</w:t>
            </w:r>
          </w:p>
          <w:p w14:paraId="52A4370E">
            <w:pPr>
              <w:numPr>
                <w:ilvl w:val="0"/>
                <w:numId w:val="0"/>
              </w:numPr>
              <w:spacing w:after="0"/>
              <w:rPr>
                <w:rFonts w:hint="default" w:ascii="Times New Roman" w:hAnsi="Times New Roman"/>
                <w:bCs/>
              </w:rPr>
            </w:pPr>
            <w:r>
              <w:rPr>
                <w:rFonts w:hint="default" w:ascii="Times New Roman" w:hAnsi="Times New Roman"/>
                <w:bCs/>
              </w:rPr>
              <w:tab/>
            </w:r>
            <w:r>
              <w:rPr>
                <w:rFonts w:hint="default" w:ascii="Times New Roman" w:hAnsi="Times New Roman"/>
                <w:bCs/>
              </w:rPr>
              <w:t>- Inter-SN LTM and intra-MN LTM</w:t>
            </w:r>
          </w:p>
        </w:tc>
      </w:tr>
      <w:tr w14:paraId="3406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2A602B2D">
            <w:pPr>
              <w:numPr>
                <w:ilvl w:val="0"/>
                <w:numId w:val="0"/>
              </w:numPr>
              <w:spacing w:after="0"/>
              <w:rPr>
                <w:rFonts w:hint="default" w:ascii="Times New Roman" w:hAnsi="Times New Roman"/>
                <w:bCs/>
              </w:rPr>
            </w:pPr>
          </w:p>
        </w:tc>
      </w:tr>
    </w:tbl>
    <w:p w14:paraId="2C70364F">
      <w:pPr>
        <w:snapToGrid w:val="0"/>
        <w:spacing w:before="120"/>
        <w:rPr>
          <w:rFonts w:hint="default" w:ascii="Times New Roman" w:hAnsi="Times New Roman" w:cs="Times New Roman"/>
        </w:rPr>
      </w:pPr>
      <w:r>
        <w:rPr>
          <w:rFonts w:hint="default" w:ascii="Times New Roman" w:hAnsi="Times New Roman" w:cs="Times New Roman"/>
        </w:rPr>
        <w:t>This contribution discussed different aspect to support inter-CU mobility design.</w:t>
      </w:r>
    </w:p>
    <w:p w14:paraId="5309D50D">
      <w:pPr>
        <w:pStyle w:val="2"/>
        <w:ind w:hanging="792"/>
        <w:rPr>
          <w:rFonts w:hint="default" w:ascii="Times New Roman" w:hAnsi="Times New Roman" w:cs="Times New Roman"/>
        </w:rPr>
      </w:pPr>
      <w:r>
        <w:rPr>
          <w:rFonts w:hint="default" w:ascii="Times New Roman" w:hAnsi="Times New Roman" w:cs="Times New Roman"/>
        </w:rPr>
        <w:t>Discussion</w:t>
      </w:r>
      <w:r>
        <w:rPr>
          <w:rFonts w:hint="default" w:ascii="Times New Roman" w:hAnsi="Times New Roman" w:cs="Times New Roman"/>
          <w:lang w:val="en-IN"/>
        </w:rPr>
        <w:t xml:space="preserve"> on Inter CU LTM</w:t>
      </w:r>
    </w:p>
    <w:p w14:paraId="023EAE17">
      <w:pPr>
        <w:pStyle w:val="3"/>
        <w:numPr>
          <w:ilvl w:val="1"/>
          <w:numId w:val="0"/>
        </w:numPr>
        <w:ind w:leftChars="0"/>
        <w:rPr>
          <w:rFonts w:hint="default" w:ascii="Times New Roman" w:hAnsi="Times New Roman" w:cs="Times New Roman"/>
          <w:lang w:val="en-IN" w:eastAsia="zh-CN"/>
        </w:rPr>
      </w:pPr>
      <w:bookmarkStart w:id="2" w:name="OLE_LINK20"/>
      <w:bookmarkStart w:id="3" w:name="OLE_LINK161"/>
      <w:bookmarkStart w:id="4" w:name="OLE_LINK21"/>
      <w:r>
        <w:rPr>
          <w:rFonts w:hint="default" w:ascii="Times New Roman" w:hAnsi="Times New Roman" w:cs="Times New Roman"/>
          <w:lang w:val="en-IN" w:eastAsia="zh-CN"/>
        </w:rPr>
        <w:t xml:space="preserve">2.1 Inter-CU LTM in DC (including whether to support SCG addition when an inter-CU MCG LTM cell switch is executed) </w:t>
      </w:r>
    </w:p>
    <w:p w14:paraId="71908E9B">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1:</w:t>
      </w:r>
      <w:r>
        <w:rPr>
          <w:rFonts w:hint="default" w:ascii="Times New Roman" w:hAnsi="Times New Roman" w:eastAsia="Malgun Gothic" w:cs="Times New Roman"/>
          <w:b w:val="0"/>
          <w:bCs w:val="0"/>
          <w:lang w:val="en-IN" w:eastAsia="zh-CN"/>
        </w:rPr>
        <w:t xml:space="preserve"> According to the objectives outlined in the Inter-CU LTM Work Item Description (WID) [2], the following scenarios are specified for NR Dual Connectivity (NR-DC) cases:</w:t>
      </w:r>
    </w:p>
    <w:p w14:paraId="43F6DDD3">
      <w:pPr>
        <w:numPr>
          <w:ilvl w:val="0"/>
          <w:numId w:val="18"/>
        </w:numPr>
        <w:ind w:firstLine="200" w:firstLineChars="10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Inter-CU MCG LTM with SCG unchanged or SCG release;</w:t>
      </w:r>
    </w:p>
    <w:p w14:paraId="4302A565">
      <w:pPr>
        <w:numPr>
          <w:ilvl w:val="0"/>
          <w:numId w:val="18"/>
        </w:numPr>
        <w:ind w:left="0" w:leftChars="0" w:firstLine="200" w:firstLineChars="10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Inter-CU SCG LTM with MCG unchanged.</w:t>
      </w:r>
    </w:p>
    <w:p w14:paraId="4FA6068A">
      <w:pPr>
        <w:numPr>
          <w:ilvl w:val="0"/>
          <w:numId w:val="0"/>
        </w:numPr>
        <w:ind w:firstLine="200" w:firstLineChars="10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 As per the agreements from RAN2 #127, the handling of SCG (e.g., its release or reconfiguration) during an inter-CU MCG LTM is left to the network’s implementation. The agreements from RAN2 #127 regarding Inter-CU MCG LTM are as follows: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80"/>
      </w:tblGrid>
      <w:tr w14:paraId="072A4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8" w:hRule="atLeast"/>
          <w:jc w:val="center"/>
        </w:trPr>
        <w:tc>
          <w:tcPr>
            <w:tcW w:w="9280" w:type="dxa"/>
          </w:tcPr>
          <w:p w14:paraId="1604A8FF">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7</w:t>
            </w:r>
            <w:r>
              <w:rPr>
                <w:rFonts w:hint="default" w:ascii="Times New Roman" w:hAnsi="Times New Roman" w:eastAsia="SimSun" w:cs="Times New Roman"/>
                <w:b/>
                <w:color w:val="0070C0"/>
                <w:u w:val="single"/>
              </w:rPr>
              <w:t xml:space="preserve"> meeting agreements</w:t>
            </w:r>
            <w:r>
              <w:rPr>
                <w:rFonts w:hint="default" w:ascii="Times New Roman" w:hAnsi="Times New Roman" w:cs="Times New Roman"/>
                <w:b/>
                <w:color w:val="0070C0"/>
                <w:u w:val="single"/>
                <w:lang w:val="en-IN"/>
              </w:rPr>
              <w:t xml:space="preserve"> on Inter CU MCG LTM</w:t>
            </w:r>
            <w:r>
              <w:rPr>
                <w:rFonts w:hint="default" w:ascii="Times New Roman" w:hAnsi="Times New Roman" w:eastAsia="SimSun" w:cs="Times New Roman"/>
                <w:b/>
                <w:color w:val="0070C0"/>
                <w:u w:val="single"/>
              </w:rPr>
              <w:t>:</w:t>
            </w:r>
          </w:p>
          <w:p w14:paraId="19BD2899">
            <w:pPr>
              <w:pStyle w:val="116"/>
              <w:numPr>
                <w:ilvl w:val="0"/>
                <w:numId w:val="19"/>
              </w:numPr>
              <w:tabs>
                <w:tab w:val="left" w:pos="419"/>
                <w:tab w:val="clear" w:pos="1980"/>
              </w:tabs>
              <w:spacing w:beforeLines="0" w:after="0" w:afterLines="0" w:line="240" w:lineRule="auto"/>
              <w:rPr>
                <w:rFonts w:hint="default" w:ascii="Times New Roman" w:hAnsi="Times New Roman" w:cs="Times New Roman"/>
                <w:szCs w:val="24"/>
                <w:lang w:val="en-US"/>
              </w:rPr>
            </w:pPr>
            <w:bookmarkStart w:id="5" w:name="_Hlk178068220"/>
            <w:r>
              <w:rPr>
                <w:rFonts w:hint="default" w:ascii="Times New Roman" w:hAnsi="Times New Roman" w:cs="Times New Roman"/>
                <w:szCs w:val="24"/>
                <w:lang w:val="en-US"/>
              </w:rPr>
              <w:t>SCG configuration can be changed in inter-CU MN and leave how to handle SCG part up to NW implementation (e.g. release or reconfiguration).</w:t>
            </w:r>
          </w:p>
          <w:p w14:paraId="5ADAE922">
            <w:pPr>
              <w:pStyle w:val="116"/>
              <w:numPr>
                <w:ilvl w:val="0"/>
                <w:numId w:val="19"/>
              </w:numPr>
              <w:tabs>
                <w:tab w:val="left" w:pos="419"/>
                <w:tab w:val="clear" w:pos="1980"/>
              </w:tabs>
              <w:spacing w:beforeLines="0" w:after="0" w:afterLines="0" w:line="240" w:lineRule="auto"/>
              <w:rPr>
                <w:rFonts w:hint="default" w:ascii="Times New Roman" w:hAnsi="Times New Roman" w:cs="Times New Roman"/>
                <w:szCs w:val="24"/>
                <w:lang w:val="en-US"/>
              </w:rPr>
            </w:pPr>
            <w:r>
              <w:rPr>
                <w:rFonts w:hint="default" w:ascii="Times New Roman" w:hAnsi="Times New Roman" w:cs="Times New Roman"/>
                <w:szCs w:val="24"/>
                <w:lang w:val="en-US"/>
              </w:rPr>
              <w:t>Upon execution of inter-CU MN LTM with DC, the UE is required to perform refresh of security key, re-establishment of RLC and PDCP, and MAC reset at both MN and SN side (i.e. Rel-15 principle is applied).</w:t>
            </w:r>
          </w:p>
          <w:p w14:paraId="2F2641F2">
            <w:pPr>
              <w:pStyle w:val="116"/>
              <w:numPr>
                <w:ilvl w:val="0"/>
                <w:numId w:val="19"/>
              </w:numPr>
              <w:tabs>
                <w:tab w:val="left" w:pos="419"/>
                <w:tab w:val="clear" w:pos="1980"/>
              </w:tabs>
              <w:spacing w:beforeLines="0" w:after="0" w:afterLines="0" w:line="240" w:lineRule="auto"/>
              <w:rPr>
                <w:szCs w:val="24"/>
                <w:lang w:val="en-US"/>
              </w:rPr>
            </w:pPr>
            <w:r>
              <w:rPr>
                <w:rFonts w:hint="default" w:ascii="Times New Roman" w:hAnsi="Times New Roman" w:cs="Times New Roman"/>
                <w:szCs w:val="24"/>
                <w:lang w:val="en-US"/>
              </w:rPr>
              <w:t>For the SN key update in inter-CU MN LTM with DC, the UE applies legacy R15 RRC reconfiguration with sync procedure.</w:t>
            </w:r>
            <w:bookmarkEnd w:id="5"/>
          </w:p>
        </w:tc>
      </w:tr>
    </w:tbl>
    <w:p w14:paraId="0D162219">
      <w:pPr>
        <w:ind w:firstLine="1004" w:firstLineChars="500"/>
        <w:jc w:val="center"/>
        <w:rPr>
          <w:rFonts w:hint="default" w:ascii="Times New Roman" w:hAnsi="Times New Roman" w:cs="Times New Roman"/>
          <w:b/>
          <w:bCs/>
          <w:lang w:val="en-IN" w:eastAsia="zh-CN"/>
        </w:rPr>
      </w:pPr>
    </w:p>
    <w:p w14:paraId="4D365B30">
      <w:pPr>
        <w:ind w:firstLine="567" w:firstLineChars="0"/>
        <w:jc w:val="both"/>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With these agreements, the network can simultaneously configure both MCG LTM candidates that include SCG configurations and MCG LTM candidates that require SCG release. For example, during an LTM1 event, the UE may execute an inter-CU MCG LTM cell switch with SCG release, resulting in the release of the dual connectivity configuration. In the next LTM2 event, the network may trigger the UE to switch to another LTM candidate with SCG configuration. In this case, since the UE no longer has SCG configuration in its current setup, executing an LTM candidate with an SCG configuration would resemble an inter-CU MCG LTM with SCG addition—currently unsupported by the WID objectives.</w:t>
      </w:r>
    </w:p>
    <w:p w14:paraId="7656EDCE">
      <w:pPr>
        <w:rPr>
          <w:rFonts w:hint="default" w:ascii="Times New Roman" w:hAnsi="Times New Roman" w:cs="Times New Roman"/>
          <w:b/>
          <w:bCs/>
          <w:lang w:val="en-IN"/>
        </w:rPr>
      </w:pPr>
      <w:r>
        <w:rPr>
          <w:rFonts w:hint="default" w:ascii="Times New Roman" w:hAnsi="Times New Roman" w:cs="Times New Roman"/>
          <w:b/>
          <w:bCs/>
          <w:lang w:val="en-IN"/>
        </w:rPr>
        <w:t>Proposal 1: To determine whether SCG addition is required, the network can consider the previous configuration for a specific UE. RAN2 needs to identify the mechanism to enable this information to the NW.</w:t>
      </w:r>
    </w:p>
    <w:p w14:paraId="17E2F81C">
      <w:pPr>
        <w:rPr>
          <w:rFonts w:hint="default" w:ascii="Times New Roman" w:hAnsi="Times New Roman" w:cs="Times New Roman"/>
          <w:b/>
          <w:bCs/>
          <w:lang w:val="en-IN"/>
        </w:rPr>
      </w:pPr>
      <w:r>
        <w:rPr>
          <w:rFonts w:hint="default" w:ascii="Times New Roman" w:hAnsi="Times New Roman" w:cs="Times New Roman"/>
          <w:b/>
          <w:bCs/>
          <w:lang w:val="en-IN"/>
        </w:rPr>
        <w:t>Proposal 2: Supporting SCG addition for inter-CU MCG LTM would enhance flexibility and alignment with network configurations. RAN2 should investigate this further and consider updating the WID objectives accordingly.</w:t>
      </w:r>
    </w:p>
    <w:p w14:paraId="0E664F3C">
      <w:pPr>
        <w:pStyle w:val="3"/>
        <w:numPr>
          <w:ilvl w:val="1"/>
          <w:numId w:val="0"/>
        </w:numPr>
        <w:ind w:leftChars="0"/>
        <w:rPr>
          <w:rFonts w:hint="default" w:ascii="Times New Roman" w:hAnsi="Times New Roman" w:cs="Times New Roman"/>
        </w:rPr>
      </w:pPr>
      <w:r>
        <w:rPr>
          <w:rFonts w:hint="default" w:ascii="Times New Roman" w:hAnsi="Times New Roman" w:cs="Times New Roman"/>
          <w:lang w:val="en-IN" w:eastAsia="ko-KR"/>
        </w:rPr>
        <w:t xml:space="preserve">2.2 R19 set ID for DC  </w:t>
      </w:r>
    </w:p>
    <w:p w14:paraId="76792328">
      <w:pPr>
        <w:rPr>
          <w:rFonts w:hint="default" w:ascii="Times New Roman" w:hAnsi="Times New Roman" w:cs="Times New Roman"/>
          <w:b/>
          <w:bCs/>
          <w:lang w:val="en-IN"/>
        </w:rPr>
      </w:pPr>
      <w:r>
        <w:rPr>
          <w:rFonts w:hint="default" w:ascii="Times New Roman" w:hAnsi="Times New Roman" w:cs="Times New Roman"/>
          <w:b/>
          <w:bCs/>
          <w:lang w:val="en-IN"/>
        </w:rPr>
        <w:t xml:space="preserve">Observation 2: </w:t>
      </w:r>
    </w:p>
    <w:p w14:paraId="5B644C88">
      <w:pPr>
        <w:ind w:firstLine="567" w:firstLineChars="0"/>
        <w:rPr>
          <w:rFonts w:hint="default" w:ascii="Times New Roman" w:hAnsi="Times New Roman" w:cs="Times New Roman"/>
          <w:b w:val="0"/>
          <w:bCs w:val="0"/>
          <w:lang w:val="en-IN"/>
        </w:rPr>
      </w:pPr>
      <w:r>
        <w:rPr>
          <w:rFonts w:hint="default" w:ascii="Times New Roman" w:hAnsi="Times New Roman" w:cs="Times New Roman"/>
          <w:b w:val="0"/>
          <w:bCs w:val="0"/>
          <w:lang w:val="en-IN"/>
        </w:rPr>
        <w:t>In the case of inter-CU MCG LTM with SCG retained, any change in the master node (MN) will also impact the secondary node (SN). For instance, an SN key update will be required due to the MN’s key refresh. Additionally, modifications in radio bearer termination or type on the MN side may affect configuration and operations on the SN side. Therefore, even if the SCG configuration remains unchanged during an inter-CU MCG LTM, the UE is still required to derive a new SN key, re-establish PDCP and SCG RLC, and reset SCG MAC, which effectively mirrors the process of SCG reconfiguration with synchronization.</w:t>
      </w:r>
    </w:p>
    <w:p w14:paraId="267C9842">
      <w:pPr>
        <w:rPr>
          <w:rFonts w:hint="default" w:ascii="Times New Roman" w:hAnsi="Times New Roman" w:cs="Times New Roman"/>
          <w:b w:val="0"/>
          <w:bCs w:val="0"/>
          <w:lang w:val="en-IN"/>
        </w:rPr>
      </w:pPr>
      <w:r>
        <w:rPr>
          <w:rFonts w:hint="default" w:ascii="Times New Roman" w:hAnsi="Times New Roman" w:cs="Times New Roman"/>
          <w:b w:val="0"/>
          <w:bCs w:val="0"/>
          <w:lang w:val="en-IN"/>
        </w:rPr>
        <w:t xml:space="preserve"> </w:t>
      </w:r>
      <w:r>
        <w:rPr>
          <w:rFonts w:hint="default" w:ascii="Times New Roman" w:hAnsi="Times New Roman" w:cs="Times New Roman"/>
          <w:b w:val="0"/>
          <w:bCs w:val="0"/>
          <w:lang w:val="en-IN"/>
        </w:rPr>
        <w:tab/>
      </w:r>
      <w:r>
        <w:rPr>
          <w:rFonts w:hint="default" w:ascii="Times New Roman" w:hAnsi="Times New Roman" w:cs="Times New Roman"/>
          <w:b w:val="0"/>
          <w:bCs w:val="0"/>
          <w:lang w:val="en-IN"/>
        </w:rPr>
        <w:t xml:space="preserve">For inter-CU SCG LTM with an unchanged MCG, this approach is used for inter-SN changes and is comparable to Rel-18 SCPAC. Agreements from the RAN2 #127bis meeting capture the SN-initiated inter-CU SCG LTM. In cases of inter-CU SCG LTM with an unchanged MCG, the same SN key, PDCP, RLC, and MAC may be retained, eliminating the need for resets. </w:t>
      </w:r>
    </w:p>
    <w:p w14:paraId="41302D43">
      <w:pPr>
        <w:numPr>
          <w:ilvl w:val="0"/>
          <w:numId w:val="0"/>
        </w:numPr>
        <w:ind w:firstLine="200" w:firstLineChars="100"/>
        <w:rPr>
          <w:rFonts w:hint="default" w:ascii="Times New Roman" w:hAnsi="Times New Roman" w:cs="Times New Roman"/>
          <w:b w:val="0"/>
          <w:bCs w:val="0"/>
          <w:lang w:val="en-IN"/>
        </w:rPr>
      </w:pPr>
      <w:r>
        <w:rPr>
          <w:rFonts w:hint="default" w:ascii="Times New Roman" w:hAnsi="Times New Roman" w:cs="Times New Roman"/>
          <w:b w:val="0"/>
          <w:bCs w:val="0"/>
          <w:lang w:val="en-IN"/>
        </w:rPr>
        <w:t xml:space="preserve">Similar to non-DC inter-CU LTM agreements,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80"/>
      </w:tblGrid>
      <w:tr w14:paraId="53C3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8" w:hRule="atLeast"/>
          <w:jc w:val="center"/>
        </w:trPr>
        <w:tc>
          <w:tcPr>
            <w:tcW w:w="9280" w:type="dxa"/>
          </w:tcPr>
          <w:p w14:paraId="1C0963C8">
            <w:pPr>
              <w:spacing w:before="120" w:after="120"/>
              <w:rPr>
                <w:rFonts w:eastAsia="SimSun"/>
                <w:b/>
                <w:color w:val="0070C0"/>
                <w:u w:val="single"/>
              </w:rPr>
            </w:pPr>
            <w:r>
              <w:rPr>
                <w:rFonts w:eastAsia="SimSun"/>
                <w:b/>
                <w:color w:val="0070C0"/>
                <w:u w:val="single"/>
              </w:rPr>
              <w:t>RAN2#12</w:t>
            </w:r>
            <w:r>
              <w:rPr>
                <w:rFonts w:hint="default"/>
                <w:b/>
                <w:color w:val="0070C0"/>
                <w:u w:val="single"/>
                <w:lang w:val="en-IN"/>
              </w:rPr>
              <w:t>7</w:t>
            </w:r>
            <w:r>
              <w:rPr>
                <w:rFonts w:eastAsia="SimSun"/>
                <w:b/>
                <w:color w:val="0070C0"/>
                <w:u w:val="single"/>
              </w:rPr>
              <w:t xml:space="preserve"> </w:t>
            </w:r>
            <w:r>
              <w:rPr>
                <w:rFonts w:hint="default"/>
                <w:b/>
                <w:color w:val="0070C0"/>
                <w:u w:val="single"/>
                <w:lang w:val="en-IN"/>
              </w:rPr>
              <w:t xml:space="preserve">and RAN2 #127bis </w:t>
            </w:r>
            <w:r>
              <w:rPr>
                <w:rFonts w:eastAsia="SimSun"/>
                <w:b/>
                <w:color w:val="0070C0"/>
                <w:u w:val="single"/>
              </w:rPr>
              <w:t>meeting agreements</w:t>
            </w:r>
            <w:r>
              <w:rPr>
                <w:rFonts w:hint="default"/>
                <w:b/>
                <w:color w:val="0070C0"/>
                <w:u w:val="single"/>
                <w:lang w:val="en-IN"/>
              </w:rPr>
              <w:t xml:space="preserve"> on Rel 19 ID for non DC Inter CU LTM</w:t>
            </w:r>
            <w:r>
              <w:rPr>
                <w:rFonts w:eastAsia="SimSun"/>
                <w:b/>
                <w:color w:val="0070C0"/>
                <w:u w:val="single"/>
              </w:rPr>
              <w:t>:</w:t>
            </w:r>
          </w:p>
          <w:p w14:paraId="2DF1A5F7">
            <w:pPr>
              <w:pStyle w:val="116"/>
              <w:numPr>
                <w:ilvl w:val="0"/>
                <w:numId w:val="19"/>
              </w:numPr>
              <w:tabs>
                <w:tab w:val="left" w:pos="419"/>
                <w:tab w:val="clear" w:pos="1980"/>
              </w:tabs>
              <w:spacing w:beforeLines="0" w:after="0" w:afterLines="0" w:line="240" w:lineRule="auto"/>
              <w:rPr>
                <w:rFonts w:hint="default" w:ascii="Times New Roman" w:hAnsi="Times New Roman" w:cs="Times New Roman"/>
                <w:b/>
                <w:bCs w:val="0"/>
                <w:szCs w:val="24"/>
                <w:lang w:val="en-US"/>
              </w:rPr>
            </w:pPr>
            <w:r>
              <w:rPr>
                <w:rFonts w:hint="default" w:ascii="Times New Roman" w:hAnsi="Times New Roman" w:cs="Times New Roman"/>
                <w:b/>
                <w:bCs w:val="0"/>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21BA79A7">
            <w:pPr>
              <w:pStyle w:val="116"/>
              <w:numPr>
                <w:ilvl w:val="0"/>
                <w:numId w:val="19"/>
              </w:numPr>
              <w:tabs>
                <w:tab w:val="left" w:pos="419"/>
                <w:tab w:val="clear" w:pos="1980"/>
              </w:tabs>
              <w:spacing w:beforeLines="0" w:after="0" w:afterLines="0" w:line="240" w:lineRule="auto"/>
              <w:rPr>
                <w:lang w:val="en-US"/>
              </w:rPr>
            </w:pPr>
            <w:r>
              <w:rPr>
                <w:rFonts w:hint="default" w:ascii="Times New Roman" w:hAnsi="Times New Roman" w:cs="Times New Roman"/>
                <w:szCs w:val="24"/>
                <w:lang w:val="en-US"/>
              </w:rPr>
              <w:t>For non-DC case, if the new Rel-19 IDs of the serving cell and the target cell have same values, the UE compares the ltm-ServingCellNoResetID and ltm-NoResetID and performs the corresponding L2 reset operation as defined in Rel-18.</w:t>
            </w:r>
            <w:r>
              <w:rPr>
                <w:rFonts w:hint="default" w:ascii="Times New Roman" w:hAnsi="Times New Roman" w:cs="Times New Roman"/>
                <w:szCs w:val="24"/>
                <w:lang w:val="en-IN"/>
              </w:rPr>
              <w:t xml:space="preserve"> </w:t>
            </w:r>
          </w:p>
        </w:tc>
      </w:tr>
    </w:tbl>
    <w:p w14:paraId="432B1907">
      <w:pPr>
        <w:numPr>
          <w:ilvl w:val="0"/>
          <w:numId w:val="0"/>
        </w:numPr>
        <w:ind w:firstLine="764" w:firstLineChars="382"/>
        <w:rPr>
          <w:rFonts w:hint="default" w:ascii="Times New Roman" w:hAnsi="Times New Roman" w:cs="Times New Roman"/>
          <w:b w:val="0"/>
          <w:bCs w:val="0"/>
          <w:lang w:val="en-IN"/>
        </w:rPr>
      </w:pPr>
    </w:p>
    <w:p w14:paraId="270C54E1">
      <w:pPr>
        <w:numPr>
          <w:ilvl w:val="0"/>
          <w:numId w:val="0"/>
        </w:numPr>
        <w:ind w:firstLine="764" w:firstLineChars="382"/>
        <w:rPr>
          <w:rFonts w:hint="default" w:ascii="Times New Roman" w:hAnsi="Times New Roman" w:eastAsia="Malgun Gothic" w:cs="Times New Roman"/>
          <w:b w:val="0"/>
          <w:bCs w:val="0"/>
          <w:lang w:val="en-IN" w:eastAsia="zh-CN"/>
        </w:rPr>
      </w:pPr>
      <w:r>
        <w:rPr>
          <w:rFonts w:hint="default" w:ascii="Times New Roman" w:hAnsi="Times New Roman" w:cs="Times New Roman"/>
          <w:b w:val="0"/>
          <w:bCs w:val="0"/>
          <w:lang w:val="en-IN"/>
        </w:rPr>
        <w:t xml:space="preserve">Introducing a Rel-19 ID can help distinguish between inter-CU MCG LTM and inter-CU SCG LTM. If the Rel-19 ID differs, the UE identifies that the MCG has changed from intra-CU to inter-CU and performs MAC reset, PDCP and RLC re-establishment, and derives a new SN key. </w:t>
      </w:r>
    </w:p>
    <w:p w14:paraId="007AA846">
      <w:pPr>
        <w:keepNext w:val="0"/>
        <w:keepLines w:val="0"/>
        <w:widowControl/>
        <w:suppressLineNumbers w:val="0"/>
        <w:rPr>
          <w:rFonts w:hint="default" w:ascii="Times New Roman" w:hAnsi="Times New Roman"/>
          <w:b/>
          <w:bCs/>
          <w:lang w:val="en-IN"/>
        </w:rPr>
      </w:pPr>
      <w:r>
        <w:rPr>
          <w:rFonts w:hint="default" w:ascii="Times New Roman" w:hAnsi="Times New Roman" w:cs="Times New Roman"/>
          <w:b/>
          <w:bCs/>
          <w:lang w:val="en-IN"/>
        </w:rPr>
        <w:t>Proposal 3: Introduce a Rel-19 ID for DC. I</w:t>
      </w:r>
      <w:r>
        <w:rPr>
          <w:rFonts w:hint="default" w:ascii="Times New Roman" w:hAnsi="Times New Roman"/>
          <w:b/>
          <w:bCs/>
          <w:lang w:val="en-IN"/>
        </w:rPr>
        <w:t xml:space="preserve">f the Rel-19 ID is different, </w:t>
      </w:r>
      <w:r>
        <w:rPr>
          <w:rFonts w:hint="default" w:ascii="Times New Roman" w:hAnsi="Times New Roman" w:cs="Times New Roman"/>
          <w:b/>
          <w:bCs/>
          <w:lang w:val="en-IN"/>
        </w:rPr>
        <w:t>UE identifies that the MCG has changed from intra-CU to inter-CU</w:t>
      </w:r>
      <w:r>
        <w:rPr>
          <w:rFonts w:hint="default" w:ascii="Times New Roman" w:hAnsi="Times New Roman"/>
          <w:b/>
          <w:bCs/>
          <w:lang w:val="en-IN"/>
        </w:rPr>
        <w:t xml:space="preserve"> and it performs PDCP and RLC re-establishment and derives new security key.  However dependent on SA3 response, we can revisit it.</w:t>
      </w:r>
    </w:p>
    <w:p w14:paraId="4B8B018F">
      <w:pPr>
        <w:keepNext w:val="0"/>
        <w:keepLines w:val="0"/>
        <w:widowControl/>
        <w:suppressLineNumbers w:val="0"/>
        <w:ind w:firstLine="567" w:firstLineChars="0"/>
        <w:rPr>
          <w:rFonts w:hint="default" w:ascii="Times New Roman" w:hAnsi="Times New Roman"/>
          <w:b/>
          <w:bCs/>
          <w:lang w:val="en-IN"/>
        </w:rPr>
      </w:pPr>
      <w:r>
        <w:rPr>
          <w:rFonts w:hint="default" w:ascii="Times New Roman" w:hAnsi="Times New Roman" w:cs="Times New Roman"/>
          <w:b w:val="0"/>
          <w:bCs w:val="0"/>
          <w:lang w:val="en-IN"/>
        </w:rPr>
        <w:t>According to TS 37.340 [3], QoS flows from the same PDU session may be mapped to different bearer types. As a result, there may be two SDAP (Service Data Adaptation Protocol) entities for the same PDU session: one located at the Master Node (MN) and the other at the Secondary Node (SN).</w:t>
      </w:r>
    </w:p>
    <w:p w14:paraId="1801D1C2">
      <w:pPr>
        <w:rPr>
          <w:rFonts w:hint="default" w:ascii="Times New Roman" w:hAnsi="Times New Roman" w:cs="Times New Roman"/>
          <w:b/>
          <w:bCs/>
          <w:lang w:val="en-IN"/>
        </w:rPr>
      </w:pPr>
      <w:r>
        <w:rPr>
          <w:rFonts w:hint="default" w:ascii="Times New Roman" w:hAnsi="Times New Roman" w:cs="Times New Roman"/>
          <w:b/>
          <w:bCs/>
          <w:lang w:val="en-IN"/>
        </w:rPr>
        <w:t>Proposal 4: Introduce DRB ID’s for inter CU DC LTM. DRB ID coordination between the MN and SN is essential to ensure unique allocation of DRBs for the UE. So, RAN2 needs to investigate the procedure to allocate unique DRB ID’s across different CU’s.</w:t>
      </w:r>
      <w:bookmarkEnd w:id="2"/>
      <w:bookmarkEnd w:id="3"/>
      <w:bookmarkEnd w:id="4"/>
    </w:p>
    <w:p w14:paraId="1332B35A">
      <w:pPr>
        <w:pStyle w:val="3"/>
        <w:numPr>
          <w:ilvl w:val="1"/>
          <w:numId w:val="0"/>
        </w:numPr>
        <w:ind w:leftChars="0"/>
        <w:jc w:val="left"/>
        <w:rPr>
          <w:rFonts w:hint="default" w:ascii="Times New Roman" w:hAnsi="Times New Roman" w:eastAsia="Malgun Gothic" w:cs="Times New Roman"/>
          <w:lang w:val="en-IN" w:eastAsia="ko-KR"/>
        </w:rPr>
      </w:pPr>
      <w:r>
        <w:rPr>
          <w:rFonts w:hint="default" w:ascii="Times New Roman" w:hAnsi="Times New Roman" w:cs="Times New Roman"/>
          <w:lang w:val="en-IN"/>
        </w:rPr>
        <w:t>2.3 Further scenario or issue clarification on the coexistence of intra-MN/inter-MN MCG LTM and inter-SN/intra-SN SCG LTM</w:t>
      </w:r>
    </w:p>
    <w:p w14:paraId="2835EB0D">
      <w:pPr>
        <w:numPr>
          <w:ilvl w:val="0"/>
          <w:numId w:val="0"/>
        </w:numPr>
        <w:rPr>
          <w:rFonts w:hint="default" w:ascii="Times New Roman" w:hAnsi="Times New Roman" w:eastAsia="Malgun Gothic" w:cs="Times New Roman"/>
          <w:lang w:val="en-IN" w:eastAsia="ko-KR"/>
        </w:rPr>
      </w:pPr>
      <w:r>
        <w:rPr>
          <w:rFonts w:hint="default" w:ascii="Times New Roman" w:hAnsi="Times New Roman" w:eastAsia="Malgun Gothic" w:cs="Times New Roman"/>
          <w:b/>
          <w:bCs/>
          <w:lang w:val="en-IN" w:eastAsia="ko-KR"/>
        </w:rPr>
        <w:t>Observation 3:</w:t>
      </w:r>
      <w:r>
        <w:rPr>
          <w:rFonts w:hint="default" w:ascii="Times New Roman" w:hAnsi="Times New Roman" w:eastAsia="Malgun Gothic" w:cs="Times New Roman"/>
          <w:lang w:val="en-IN" w:eastAsia="ko-KR"/>
        </w:rPr>
        <w:t xml:space="preserve"> According to RAN2#127bis, two co-existence cases are supported.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80"/>
      </w:tblGrid>
      <w:tr w14:paraId="137E1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8" w:hRule="atLeast"/>
          <w:jc w:val="center"/>
        </w:trPr>
        <w:tc>
          <w:tcPr>
            <w:tcW w:w="9280" w:type="dxa"/>
          </w:tcPr>
          <w:p w14:paraId="17A7F259">
            <w:pPr>
              <w:spacing w:before="120" w:after="120"/>
              <w:rPr>
                <w:rFonts w:hint="default" w:eastAsia="SimSun"/>
                <w:b/>
                <w:color w:val="0070C0"/>
                <w:u w:val="single"/>
                <w:lang w:val="en-IN"/>
              </w:rPr>
            </w:pPr>
            <w:r>
              <w:rPr>
                <w:rFonts w:hint="default"/>
                <w:b/>
                <w:color w:val="0070C0"/>
                <w:u w:val="single"/>
                <w:lang w:val="en-IN"/>
              </w:rPr>
              <w:t xml:space="preserve">RAN2 #127bis </w:t>
            </w:r>
            <w:r>
              <w:rPr>
                <w:rFonts w:eastAsia="SimSun"/>
                <w:b/>
                <w:color w:val="0070C0"/>
                <w:u w:val="single"/>
              </w:rPr>
              <w:t>meeting agreements</w:t>
            </w:r>
            <w:r>
              <w:rPr>
                <w:rFonts w:hint="default"/>
                <w:b/>
                <w:color w:val="0070C0"/>
                <w:u w:val="single"/>
                <w:lang w:val="en-IN"/>
              </w:rPr>
              <w:t>:</w:t>
            </w:r>
          </w:p>
          <w:p w14:paraId="2475F1A2">
            <w:pPr>
              <w:pStyle w:val="116"/>
              <w:numPr>
                <w:ilvl w:val="0"/>
                <w:numId w:val="19"/>
              </w:numPr>
              <w:tabs>
                <w:tab w:val="left" w:pos="419"/>
                <w:tab w:val="clear" w:pos="1980"/>
              </w:tabs>
              <w:spacing w:beforeLines="0" w:after="0" w:afterLines="0" w:line="240" w:lineRule="auto"/>
              <w:rPr>
                <w:rFonts w:hint="default" w:ascii="Times New Roman" w:hAnsi="Times New Roman"/>
                <w:b/>
                <w:bCs w:val="0"/>
              </w:rPr>
            </w:pPr>
            <w:r>
              <w:rPr>
                <w:rFonts w:hint="default" w:ascii="Times New Roman" w:hAnsi="Times New Roman" w:cs="Times New Roman"/>
                <w:b/>
                <w:bCs w:val="0"/>
              </w:rPr>
              <w:t xml:space="preserve">If the </w:t>
            </w:r>
            <w:r>
              <w:rPr>
                <w:rFonts w:hint="default" w:ascii="Times New Roman" w:hAnsi="Times New Roman"/>
                <w:b/>
                <w:bCs w:val="0"/>
              </w:rPr>
              <w:t>RAN2 confirms to support coexistence of following cases, it is up to network implementation to ensure simultaneous execution for both MCG and SCG will not happen:</w:t>
            </w:r>
          </w:p>
          <w:p w14:paraId="65AD2C83">
            <w:pPr>
              <w:pStyle w:val="116"/>
              <w:numPr>
                <w:ilvl w:val="0"/>
                <w:numId w:val="19"/>
              </w:numPr>
              <w:tabs>
                <w:tab w:val="left" w:pos="419"/>
                <w:tab w:val="clear" w:pos="1980"/>
              </w:tabs>
              <w:spacing w:beforeLines="0" w:after="0" w:afterLines="0" w:line="240" w:lineRule="auto"/>
              <w:rPr>
                <w:rFonts w:hint="default" w:ascii="Times New Roman" w:hAnsi="Times New Roman"/>
                <w:b/>
                <w:bCs w:val="0"/>
              </w:rPr>
            </w:pPr>
            <w:r>
              <w:rPr>
                <w:rFonts w:hint="default" w:ascii="Times New Roman" w:hAnsi="Times New Roman"/>
                <w:b/>
                <w:bCs w:val="0"/>
              </w:rPr>
              <w:tab/>
            </w:r>
            <w:r>
              <w:rPr>
                <w:rFonts w:hint="default" w:ascii="Times New Roman" w:hAnsi="Times New Roman"/>
                <w:b/>
                <w:bCs w:val="0"/>
              </w:rPr>
              <w:t xml:space="preserve"> Inter-MN LTM and intra-SN LTM</w:t>
            </w:r>
          </w:p>
          <w:p w14:paraId="3757E324">
            <w:pPr>
              <w:pStyle w:val="116"/>
              <w:numPr>
                <w:ilvl w:val="0"/>
                <w:numId w:val="19"/>
              </w:numPr>
              <w:tabs>
                <w:tab w:val="left" w:pos="419"/>
                <w:tab w:val="clear" w:pos="1980"/>
              </w:tabs>
              <w:spacing w:beforeLines="0" w:after="0" w:afterLines="0" w:line="240" w:lineRule="auto"/>
              <w:rPr>
                <w:rFonts w:hint="default" w:ascii="Times New Roman" w:hAnsi="Times New Roman" w:cs="Times New Roman"/>
                <w:b/>
                <w:bCs w:val="0"/>
                <w:szCs w:val="24"/>
                <w:lang w:val="en-US"/>
              </w:rPr>
            </w:pPr>
            <w:r>
              <w:rPr>
                <w:rFonts w:hint="default" w:ascii="Times New Roman" w:hAnsi="Times New Roman"/>
                <w:b/>
                <w:bCs w:val="0"/>
              </w:rPr>
              <w:tab/>
            </w:r>
            <w:r>
              <w:rPr>
                <w:rFonts w:hint="default" w:ascii="Times New Roman" w:hAnsi="Times New Roman"/>
                <w:b/>
                <w:bCs w:val="0"/>
                <w:lang w:val="en-IN"/>
              </w:rPr>
              <w:t xml:space="preserve"> </w:t>
            </w:r>
            <w:r>
              <w:rPr>
                <w:rFonts w:hint="default" w:ascii="Times New Roman" w:hAnsi="Times New Roman"/>
                <w:b/>
                <w:bCs w:val="0"/>
              </w:rPr>
              <w:t>Inter-SN LTM and intra-MN LTM</w:t>
            </w:r>
          </w:p>
          <w:p w14:paraId="5E30D47D">
            <w:pPr>
              <w:pStyle w:val="116"/>
              <w:numPr>
                <w:ilvl w:val="0"/>
                <w:numId w:val="0"/>
              </w:numPr>
              <w:tabs>
                <w:tab w:val="left" w:pos="419"/>
                <w:tab w:val="clear" w:pos="1980"/>
              </w:tabs>
              <w:spacing w:beforeLines="0" w:after="0" w:afterLines="0" w:line="240" w:lineRule="auto"/>
              <w:ind w:left="418" w:leftChars="0"/>
              <w:rPr>
                <w:lang w:val="en-US"/>
              </w:rPr>
            </w:pPr>
          </w:p>
        </w:tc>
      </w:tr>
    </w:tbl>
    <w:p w14:paraId="2F5AED03">
      <w:pPr>
        <w:numPr>
          <w:ilvl w:val="0"/>
          <w:numId w:val="0"/>
        </w:numPr>
        <w:rPr>
          <w:rFonts w:hint="default" w:ascii="Times New Roman" w:hAnsi="Times New Roman" w:eastAsia="Malgun Gothic" w:cs="Times New Roman"/>
          <w:lang w:val="en-IN" w:eastAsia="ko-KR"/>
        </w:rPr>
      </w:pPr>
    </w:p>
    <w:p w14:paraId="433F79F7">
      <w:pPr>
        <w:numPr>
          <w:ilvl w:val="0"/>
          <w:numId w:val="0"/>
        </w:numPr>
        <w:ind w:firstLine="567" w:firstLineChars="0"/>
        <w:rPr>
          <w:rFonts w:hint="default" w:ascii="Times New Roman" w:hAnsi="Times New Roman" w:eastAsia="Malgun Gothic" w:cs="Times New Roman"/>
          <w:lang w:val="en-IN" w:eastAsia="ko-KR"/>
        </w:rPr>
      </w:pPr>
      <w:r>
        <w:rPr>
          <w:rFonts w:hint="default" w:ascii="Times New Roman" w:hAnsi="Times New Roman" w:eastAsia="Malgun Gothic" w:cs="Times New Roman"/>
          <w:lang w:val="en-IN" w:eastAsia="ko-KR"/>
        </w:rPr>
        <w:t xml:space="preserve">Based on Mobility class, NW can identify that inter MN or intra MN mobility will happen. It helps NW to prepare the candidate configuration effectively. </w:t>
      </w:r>
    </w:p>
    <w:p w14:paraId="3D5A25F4">
      <w:pPr>
        <w:numPr>
          <w:ilvl w:val="0"/>
          <w:numId w:val="0"/>
        </w:numPr>
        <w:ind w:firstLine="567" w:firstLineChars="0"/>
        <w:rPr>
          <w:rFonts w:hint="default" w:ascii="Times New Roman" w:hAnsi="Times New Roman" w:eastAsia="Malgun Gothic" w:cs="Times New Roman"/>
          <w:lang w:val="en-IN" w:eastAsia="ko-KR"/>
        </w:rPr>
      </w:pPr>
      <w:r>
        <w:rPr>
          <w:rFonts w:hint="default" w:ascii="Times New Roman" w:hAnsi="Times New Roman" w:eastAsia="Malgun Gothic" w:cs="Times New Roman"/>
          <w:lang w:val="en-IN" w:eastAsia="ko-KR"/>
        </w:rPr>
        <w:t xml:space="preserve">High-mobility UE’s (e.g., vehicles) may exhibit frequent transitions between MN’s, where inter-MN MCG mobility will be dominant. However, low-mobility UE’s (e.g., pedestrians) may experience more frequent intra-MN MCG mobility. Depending on the mobility pattern, both intra- and inter-MN mobility can coexist based on the mobility class (speed) and direction of movement, Intra MN/Inter MN MCG LTM is dynamically selected. </w:t>
      </w:r>
    </w:p>
    <w:p w14:paraId="79A2F744">
      <w:pPr>
        <w:numPr>
          <w:ilvl w:val="0"/>
          <w:numId w:val="0"/>
        </w:numPr>
        <w:ind w:firstLine="567" w:firstLineChars="0"/>
        <w:rPr>
          <w:rFonts w:hint="default" w:ascii="Times New Roman" w:hAnsi="Times New Roman" w:eastAsia="Malgun Gothic" w:cs="Times New Roman"/>
          <w:lang w:val="en-IN" w:eastAsia="ko-KR"/>
        </w:rPr>
      </w:pPr>
      <w:r>
        <w:rPr>
          <w:rFonts w:hint="default" w:ascii="Times New Roman" w:hAnsi="Times New Roman" w:eastAsia="Malgun Gothic" w:cs="Times New Roman"/>
          <w:lang w:val="en-IN" w:eastAsia="ko-KR"/>
        </w:rPr>
        <w:t>Based on the mobility class, Source MN can initiate either Intra or Inter MN/MCG LTM. The procedures are depicted in Figure 1.</w:t>
      </w:r>
    </w:p>
    <w:p w14:paraId="14316503">
      <w:pPr>
        <w:numPr>
          <w:ilvl w:val="0"/>
          <w:numId w:val="0"/>
        </w:numPr>
        <w:jc w:val="center"/>
        <w:rPr>
          <w:rFonts w:hint="default" w:ascii="Times New Roman" w:hAnsi="Times New Roman" w:eastAsia="Malgun Gothic" w:cs="Times New Roman"/>
          <w:lang w:val="en-IN" w:eastAsia="ko-KR"/>
        </w:rPr>
      </w:pPr>
      <w:r>
        <w:rPr>
          <w:rFonts w:hint="default" w:ascii="Times New Roman" w:hAnsi="Times New Roman" w:eastAsia="Malgun Gothic" w:cs="Times New Roman"/>
          <w:lang w:val="en-IN" w:eastAsia="ko-KR"/>
        </w:rPr>
        <w:drawing>
          <wp:inline distT="0" distB="0" distL="114300" distR="114300">
            <wp:extent cx="5227320" cy="3282315"/>
            <wp:effectExtent l="0" t="0" r="0" b="9525"/>
            <wp:docPr id="1" name="Picture 1" descr="Inter MN Intra MN L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nter MN Intra MN LTM"/>
                    <pic:cNvPicPr>
                      <a:picLocks noChangeAspect="1"/>
                    </pic:cNvPicPr>
                  </pic:nvPicPr>
                  <pic:blipFill>
                    <a:blip r:embed="rId6"/>
                    <a:stretch>
                      <a:fillRect/>
                    </a:stretch>
                  </pic:blipFill>
                  <pic:spPr>
                    <a:xfrm>
                      <a:off x="0" y="0"/>
                      <a:ext cx="5227320" cy="3282315"/>
                    </a:xfrm>
                    <a:prstGeom prst="rect">
                      <a:avLst/>
                    </a:prstGeom>
                  </pic:spPr>
                </pic:pic>
              </a:graphicData>
            </a:graphic>
          </wp:inline>
        </w:drawing>
      </w:r>
    </w:p>
    <w:p w14:paraId="6E4D3EBD">
      <w:pPr>
        <w:ind w:firstLine="1004" w:firstLineChars="500"/>
        <w:jc w:val="center"/>
        <w:rPr>
          <w:rFonts w:hint="default" w:ascii="Times New Roman" w:hAnsi="Times New Roman" w:cs="Times New Roman"/>
          <w:b/>
          <w:bCs/>
          <w:lang w:val="en-IN" w:eastAsia="zh-CN"/>
        </w:rPr>
      </w:pPr>
      <w:r>
        <w:rPr>
          <w:rFonts w:hint="default" w:ascii="Times New Roman" w:hAnsi="Times New Roman" w:cs="Times New Roman"/>
          <w:b/>
          <w:bCs/>
          <w:lang w:val="en-IN"/>
        </w:rPr>
        <w:t>Figure 1: Mobility based Intra MN or Inter MN LTM</w:t>
      </w:r>
    </w:p>
    <w:p w14:paraId="34D3CB48">
      <w:pPr>
        <w:numPr>
          <w:ilvl w:val="0"/>
          <w:numId w:val="0"/>
        </w:numPr>
        <w:rPr>
          <w:rFonts w:hint="default" w:ascii="Times New Roman" w:hAnsi="Times New Roman" w:cs="Times New Roman"/>
          <w:b/>
          <w:lang w:val="en-IN" w:eastAsia="ja-JP"/>
        </w:rPr>
      </w:pPr>
      <w:r>
        <w:rPr>
          <w:rFonts w:hint="default" w:ascii="Times New Roman" w:hAnsi="Times New Roman" w:cs="Times New Roman"/>
          <w:b/>
          <w:bCs/>
        </w:rPr>
        <w:t>Proposal</w:t>
      </w:r>
      <w:r>
        <w:rPr>
          <w:rFonts w:hint="default" w:ascii="Times New Roman" w:hAnsi="Times New Roman" w:cs="Times New Roman"/>
          <w:b/>
          <w:bCs/>
          <w:lang w:val="en-IN"/>
        </w:rPr>
        <w:t xml:space="preserve"> 5</w:t>
      </w:r>
      <w:r>
        <w:rPr>
          <w:rFonts w:hint="default" w:ascii="Times New Roman" w:hAnsi="Times New Roman" w:cs="Times New Roman"/>
          <w:b/>
          <w:bCs/>
        </w:rPr>
        <w:t xml:space="preserve"> :</w:t>
      </w:r>
      <w:r>
        <w:rPr>
          <w:rFonts w:hint="default" w:ascii="Times New Roman" w:hAnsi="Times New Roman" w:cs="Times New Roman"/>
          <w:b/>
          <w:bCs/>
          <w:lang w:val="en-IN"/>
        </w:rPr>
        <w:t xml:space="preserve"> </w:t>
      </w:r>
      <w:r>
        <w:rPr>
          <w:rFonts w:hint="default" w:ascii="Times New Roman" w:hAnsi="Times New Roman" w:eastAsia="Malgun Gothic" w:cs="Times New Roman"/>
          <w:b/>
          <w:bCs/>
          <w:lang w:val="en-IN" w:eastAsia="ko-KR"/>
        </w:rPr>
        <w:t>Based on Mobility class, NW can identify that inter MN or intra MN mobility will happen. It helps NW to prepare the candidate configuration effectively.</w:t>
      </w:r>
      <w:r>
        <w:rPr>
          <w:rFonts w:hint="default" w:ascii="Times New Roman" w:hAnsi="Times New Roman" w:eastAsia="Malgun Gothic" w:cs="Times New Roman"/>
          <w:lang w:val="en-IN" w:eastAsia="ko-KR"/>
        </w:rPr>
        <w:t xml:space="preserve"> </w:t>
      </w:r>
    </w:p>
    <w:p w14:paraId="58B2F1DD">
      <w:pPr>
        <w:numPr>
          <w:ilvl w:val="0"/>
          <w:numId w:val="0"/>
        </w:numPr>
        <w:rPr>
          <w:rFonts w:hint="default" w:ascii="Times New Roman" w:hAnsi="Times New Roman" w:eastAsia="Malgun Gothic" w:cs="Times New Roman"/>
          <w:lang w:val="en-IN" w:eastAsia="ko-KR"/>
        </w:rPr>
      </w:pPr>
      <w:r>
        <w:rPr>
          <w:rFonts w:hint="default" w:ascii="Times New Roman" w:hAnsi="Times New Roman" w:cs="Times New Roman"/>
          <w:b/>
          <w:bCs/>
          <w:lang w:val="en-IN"/>
        </w:rPr>
        <w:t xml:space="preserve">Proposal 6: The co-existence of intra-MN/inter-MN MCG LTM scenarios are more realistic in terms of load balancing. Depending on the mobility class of UE and load balancing considerations, Source MN should initiate Intra CU or Inter CU MCG LTM. Based on that, NW triggers the corresponding candidate configurations. </w:t>
      </w:r>
    </w:p>
    <w:p w14:paraId="0BABB58C">
      <w:pPr>
        <w:rPr>
          <w:rFonts w:hint="default" w:ascii="Times New Roman" w:hAnsi="Times New Roman" w:eastAsia="SimSun" w:cs="Times New Roman"/>
          <w:sz w:val="36"/>
          <w:szCs w:val="36"/>
          <w:lang w:val="en-GB" w:eastAsia="zh-CN" w:bidi="ar-SA"/>
        </w:rPr>
      </w:pPr>
      <w:r>
        <w:rPr>
          <w:rFonts w:hint="default" w:ascii="Times New Roman" w:hAnsi="Times New Roman" w:eastAsia="SimSun" w:cs="Times New Roman"/>
          <w:sz w:val="36"/>
          <w:szCs w:val="36"/>
          <w:lang w:val="en-GB" w:eastAsia="zh-CN" w:bidi="ar-SA"/>
        </w:rPr>
        <w:t>Conclusion</w:t>
      </w:r>
    </w:p>
    <w:p w14:paraId="7E40B66E">
      <w:pPr>
        <w:tabs>
          <w:tab w:val="left" w:pos="0"/>
        </w:tabs>
        <w:jc w:val="left"/>
        <w:rPr>
          <w:rFonts w:hint="default" w:ascii="Times New Roman" w:hAnsi="Times New Roman" w:cs="Times New Roman"/>
          <w:sz w:val="22"/>
        </w:rPr>
      </w:pPr>
      <w:r>
        <w:rPr>
          <w:rFonts w:hint="default" w:ascii="Times New Roman" w:hAnsi="Times New Roman" w:cs="Times New Roman"/>
          <w:sz w:val="22"/>
        </w:rPr>
        <w:t>In this contribution, the following proposals are made:</w:t>
      </w:r>
    </w:p>
    <w:p w14:paraId="4ADA8DC7">
      <w:pPr>
        <w:rPr>
          <w:rFonts w:hint="default" w:ascii="Times New Roman" w:hAnsi="Times New Roman" w:cs="Times New Roman"/>
          <w:b/>
          <w:bCs/>
          <w:i/>
          <w:iCs/>
          <w:lang w:val="en-IN"/>
        </w:rPr>
      </w:pPr>
      <w:r>
        <w:rPr>
          <w:rFonts w:hint="default" w:ascii="Times New Roman" w:hAnsi="Times New Roman" w:cs="Times New Roman"/>
          <w:b/>
          <w:bCs/>
          <w:i/>
          <w:iCs/>
          <w:lang w:val="en-IN"/>
        </w:rPr>
        <w:t>Proposal 1: To determine whether SCG addition is required, the network can consider the previous configuration for a specific UE. RAN2 needs to identify the mechanism to enable this information to the NW.</w:t>
      </w:r>
    </w:p>
    <w:p w14:paraId="7D047965">
      <w:pPr>
        <w:rPr>
          <w:rFonts w:hint="default" w:ascii="Times New Roman" w:hAnsi="Times New Roman" w:cs="Times New Roman"/>
          <w:b/>
          <w:bCs/>
          <w:i/>
          <w:iCs/>
          <w:lang w:val="en-IN"/>
        </w:rPr>
      </w:pPr>
      <w:r>
        <w:rPr>
          <w:rFonts w:hint="default" w:ascii="Times New Roman" w:hAnsi="Times New Roman" w:cs="Times New Roman"/>
          <w:b/>
          <w:bCs/>
          <w:i/>
          <w:iCs/>
          <w:lang w:val="en-IN"/>
        </w:rPr>
        <w:t>Proposal 2: Supporting SCG addition for inter-CU MCG LTM would enhance flexibility and alignment with network configurations. RAN2 should investigate this further and consider updating the WID objectives accordingly.</w:t>
      </w:r>
    </w:p>
    <w:p w14:paraId="0124C123">
      <w:pPr>
        <w:keepNext w:val="0"/>
        <w:keepLines w:val="0"/>
        <w:widowControl/>
        <w:suppressLineNumbers w:val="0"/>
        <w:rPr>
          <w:rFonts w:hint="default" w:ascii="Times New Roman" w:hAnsi="Times New Roman"/>
          <w:b/>
          <w:bCs/>
          <w:i/>
          <w:iCs/>
          <w:lang w:val="en-IN"/>
        </w:rPr>
      </w:pPr>
      <w:r>
        <w:rPr>
          <w:rFonts w:hint="default" w:ascii="Times New Roman" w:hAnsi="Times New Roman" w:cs="Times New Roman"/>
          <w:b/>
          <w:bCs/>
          <w:i/>
          <w:iCs/>
          <w:lang w:val="en-IN"/>
        </w:rPr>
        <w:t>Proposal 3: Introduce a Rel-19 ID for DC. I</w:t>
      </w:r>
      <w:r>
        <w:rPr>
          <w:rFonts w:hint="default" w:ascii="Times New Roman" w:hAnsi="Times New Roman"/>
          <w:b/>
          <w:bCs/>
          <w:i/>
          <w:iCs/>
          <w:lang w:val="en-IN"/>
        </w:rPr>
        <w:t xml:space="preserve">f the Rel-19 ID is different, </w:t>
      </w:r>
      <w:r>
        <w:rPr>
          <w:rFonts w:hint="default" w:ascii="Times New Roman" w:hAnsi="Times New Roman" w:cs="Times New Roman"/>
          <w:b/>
          <w:bCs/>
          <w:i/>
          <w:iCs/>
          <w:lang w:val="en-IN"/>
        </w:rPr>
        <w:t>UE identifies that the MCG has changed from intra-CU to inter-CU</w:t>
      </w:r>
      <w:r>
        <w:rPr>
          <w:rFonts w:hint="default" w:ascii="Times New Roman" w:hAnsi="Times New Roman"/>
          <w:b/>
          <w:bCs/>
          <w:i/>
          <w:iCs/>
          <w:lang w:val="en-IN"/>
        </w:rPr>
        <w:t xml:space="preserve"> and it performs PDCP and RLC re-establishment and derives new security key.  However dependent on SA3 response, we can revisit it.</w:t>
      </w:r>
      <w:bookmarkStart w:id="7" w:name="_GoBack"/>
      <w:bookmarkEnd w:id="7"/>
    </w:p>
    <w:p w14:paraId="57E95163">
      <w:pPr>
        <w:rPr>
          <w:rFonts w:hint="default" w:ascii="Times New Roman" w:hAnsi="Times New Roman" w:cs="Times New Roman"/>
          <w:b/>
          <w:bCs/>
          <w:i/>
          <w:iCs/>
          <w:lang w:val="en-IN"/>
        </w:rPr>
      </w:pPr>
      <w:r>
        <w:rPr>
          <w:rFonts w:hint="default" w:ascii="Times New Roman" w:hAnsi="Times New Roman" w:cs="Times New Roman"/>
          <w:b/>
          <w:bCs/>
          <w:i/>
          <w:iCs/>
          <w:lang w:val="en-IN"/>
        </w:rPr>
        <w:t xml:space="preserve">Proposal 4: Introduce DRB ID’s for inter CU DC LTM. DRB ID coordination between the MN and SN is essential to ensure unique allocation of DRBs for the UE. So, RAN2 needs to investigate the procedure to allocate unique DRB ID’s across different CU’s. </w:t>
      </w:r>
    </w:p>
    <w:p w14:paraId="129F9F66">
      <w:pPr>
        <w:numPr>
          <w:ilvl w:val="0"/>
          <w:numId w:val="0"/>
        </w:numPr>
        <w:rPr>
          <w:rFonts w:hint="default" w:ascii="Times New Roman" w:hAnsi="Times New Roman" w:cs="Times New Roman"/>
          <w:b/>
          <w:i/>
          <w:iCs/>
          <w:lang w:val="en-IN" w:eastAsia="ja-JP"/>
        </w:rPr>
      </w:pPr>
      <w:r>
        <w:rPr>
          <w:rFonts w:hint="default" w:ascii="Times New Roman" w:hAnsi="Times New Roman" w:cs="Times New Roman"/>
          <w:b/>
          <w:bCs/>
          <w:i/>
          <w:iCs/>
        </w:rPr>
        <w:t>Proposal</w:t>
      </w:r>
      <w:r>
        <w:rPr>
          <w:rFonts w:hint="default" w:ascii="Times New Roman" w:hAnsi="Times New Roman" w:cs="Times New Roman"/>
          <w:b/>
          <w:bCs/>
          <w:i/>
          <w:iCs/>
          <w:lang w:val="en-IN"/>
        </w:rPr>
        <w:t xml:space="preserve"> 5</w:t>
      </w:r>
      <w:r>
        <w:rPr>
          <w:rFonts w:hint="default" w:ascii="Times New Roman" w:hAnsi="Times New Roman" w:cs="Times New Roman"/>
          <w:b/>
          <w:bCs/>
          <w:i/>
          <w:iCs/>
        </w:rPr>
        <w:t xml:space="preserve"> :</w:t>
      </w:r>
      <w:r>
        <w:rPr>
          <w:rFonts w:hint="default" w:ascii="Times New Roman" w:hAnsi="Times New Roman" w:cs="Times New Roman"/>
          <w:b/>
          <w:bCs/>
          <w:i/>
          <w:iCs/>
          <w:lang w:val="en-IN"/>
        </w:rPr>
        <w:t xml:space="preserve"> </w:t>
      </w:r>
      <w:r>
        <w:rPr>
          <w:rFonts w:hint="default" w:ascii="Times New Roman" w:hAnsi="Times New Roman" w:eastAsia="Malgun Gothic" w:cs="Times New Roman"/>
          <w:b/>
          <w:bCs/>
          <w:i/>
          <w:iCs/>
          <w:lang w:val="en-IN" w:eastAsia="ko-KR"/>
        </w:rPr>
        <w:t>Based on Mobility class, NW can identify that inter MN or intra MN mobility will happen. It helps NW to prepare the candidate configuration effectively.</w:t>
      </w:r>
      <w:r>
        <w:rPr>
          <w:rFonts w:hint="default" w:ascii="Times New Roman" w:hAnsi="Times New Roman" w:eastAsia="Malgun Gothic" w:cs="Times New Roman"/>
          <w:i/>
          <w:iCs/>
          <w:lang w:val="en-IN" w:eastAsia="ko-KR"/>
        </w:rPr>
        <w:t xml:space="preserve"> </w:t>
      </w:r>
    </w:p>
    <w:p w14:paraId="02BAF888">
      <w:pPr>
        <w:numPr>
          <w:ilvl w:val="0"/>
          <w:numId w:val="0"/>
        </w:numPr>
        <w:rPr>
          <w:rFonts w:hint="default" w:ascii="Times New Roman" w:hAnsi="Times New Roman" w:eastAsia="Malgun Gothic" w:cs="Times New Roman"/>
          <w:i/>
          <w:iCs/>
          <w:lang w:val="en-IN" w:eastAsia="ko-KR"/>
        </w:rPr>
      </w:pPr>
      <w:r>
        <w:rPr>
          <w:rFonts w:hint="default" w:ascii="Times New Roman" w:hAnsi="Times New Roman" w:cs="Times New Roman"/>
          <w:b/>
          <w:bCs/>
          <w:i/>
          <w:iCs/>
          <w:lang w:val="en-IN"/>
        </w:rPr>
        <w:t xml:space="preserve">Proposal 6: The co-existence of intra-MN/inter-MN MCG LTM scenarios are more realistic in terms of load balancing. Depending on the mobility class of UE and load balancing considerations, Source MN should initiate Intra CU or Inter CU MCG LTM. Based on that, NW triggers the corresponding candidate configurations. </w:t>
      </w:r>
    </w:p>
    <w:p w14:paraId="63D236C3">
      <w:pPr>
        <w:pStyle w:val="2"/>
        <w:ind w:hanging="792"/>
        <w:rPr>
          <w:rFonts w:hint="default" w:ascii="Times New Roman" w:hAnsi="Times New Roman" w:cs="Times New Roman"/>
        </w:rPr>
      </w:pPr>
      <w:r>
        <w:rPr>
          <w:rFonts w:hint="default" w:ascii="Times New Roman" w:hAnsi="Times New Roman" w:cs="Times New Roman"/>
        </w:rPr>
        <w:t>References</w:t>
      </w:r>
    </w:p>
    <w:p w14:paraId="5B79F849">
      <w:pPr>
        <w:pStyle w:val="57"/>
        <w:numPr>
          <w:ilvl w:val="0"/>
          <w:numId w:val="20"/>
        </w:numPr>
        <w:ind w:leftChars="0"/>
        <w:jc w:val="left"/>
        <w:textAlignment w:val="auto"/>
        <w:rPr>
          <w:rFonts w:hint="default" w:ascii="Times New Roman" w:hAnsi="Times New Roman" w:cs="Times New Roman"/>
          <w:szCs w:val="20"/>
          <w:lang w:val="en-IN"/>
        </w:rPr>
      </w:pPr>
      <w:bookmarkStart w:id="6" w:name="OLE_LINK34"/>
      <w:r>
        <w:rPr>
          <w:rFonts w:hint="default" w:ascii="Times New Roman" w:hAnsi="Times New Roman" w:cs="Times New Roman"/>
        </w:rPr>
        <w:t>R2-2407571</w:t>
      </w:r>
      <w:r>
        <w:rPr>
          <w:rFonts w:hint="default" w:ascii="Times New Roman" w:hAnsi="Times New Roman" w:cs="Times New Roman"/>
          <w:lang w:val="en-IN"/>
        </w:rPr>
        <w:t xml:space="preserve"> “</w:t>
      </w:r>
      <w:r>
        <w:rPr>
          <w:rFonts w:hint="default" w:ascii="Times New Roman" w:hAnsi="Times New Roman" w:cs="Times New Roman"/>
        </w:rPr>
        <w:t>Report from session on V2X/SL, R18/19 MOB, and R19 NES</w:t>
      </w:r>
      <w:r>
        <w:rPr>
          <w:rFonts w:hint="default" w:ascii="Times New Roman" w:hAnsi="Times New Roman" w:cs="Times New Roman"/>
          <w:lang w:val="en-IN"/>
        </w:rPr>
        <w:t xml:space="preserve">”, </w:t>
      </w:r>
      <w:r>
        <w:rPr>
          <w:rFonts w:hint="default" w:ascii="Times New Roman" w:hAnsi="Times New Roman" w:eastAsia="SimSun" w:cs="Times New Roman"/>
          <w:szCs w:val="20"/>
        </w:rPr>
        <w:t>Vice Chairman (Samsung)</w:t>
      </w:r>
      <w:r>
        <w:rPr>
          <w:rFonts w:hint="default" w:ascii="Times New Roman" w:hAnsi="Times New Roman" w:cs="Times New Roman"/>
          <w:szCs w:val="20"/>
          <w:lang w:val="en-IN"/>
        </w:rPr>
        <w:t xml:space="preserve"> </w:t>
      </w:r>
    </w:p>
    <w:p w14:paraId="1F364074">
      <w:pPr>
        <w:pStyle w:val="57"/>
        <w:numPr>
          <w:ilvl w:val="0"/>
          <w:numId w:val="20"/>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RP-234036  New WID: NR mobility enhancements Phase 4</w:t>
      </w:r>
    </w:p>
    <w:p w14:paraId="6D3A07EF">
      <w:pPr>
        <w:pStyle w:val="57"/>
        <w:numPr>
          <w:ilvl w:val="0"/>
          <w:numId w:val="20"/>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37.340, E-UTRA and NR; Multi-connectivity; Stage 2, Release 18</w:t>
      </w:r>
    </w:p>
    <w:bookmarkEnd w:id="6"/>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2C288"/>
    <w:multiLevelType w:val="singleLevel"/>
    <w:tmpl w:val="8022C288"/>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4F262D6"/>
    <w:multiLevelType w:val="singleLevel"/>
    <w:tmpl w:val="04F262D6"/>
    <w:lvl w:ilvl="0" w:tentative="0">
      <w:start w:val="7"/>
      <w:numFmt w:val="decimal"/>
      <w:lvlText w:val="%1."/>
      <w:lvlJc w:val="left"/>
    </w:lvl>
  </w:abstractNum>
  <w:abstractNum w:abstractNumId="3">
    <w:nsid w:val="1BEC6BB8"/>
    <w:multiLevelType w:val="multilevel"/>
    <w:tmpl w:val="1BEC6BB8"/>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DAF01B"/>
    <w:multiLevelType w:val="singleLevel"/>
    <w:tmpl w:val="24DAF01B"/>
    <w:lvl w:ilvl="0" w:tentative="0">
      <w:start w:val="1"/>
      <w:numFmt w:val="decimal"/>
      <w:suff w:val="space"/>
      <w:lvlText w:val="[%1]"/>
      <w:lvlJc w:val="left"/>
    </w:lvl>
  </w:abstractNum>
  <w:abstractNum w:abstractNumId="5">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6301CC"/>
    <w:multiLevelType w:val="singleLevel"/>
    <w:tmpl w:val="3B6301CC"/>
    <w:lvl w:ilvl="0" w:tentative="0">
      <w:start w:val="1"/>
      <w:numFmt w:val="bullet"/>
      <w:pStyle w:val="121"/>
      <w:lvlText w:val=""/>
      <w:lvlJc w:val="left"/>
      <w:pPr>
        <w:tabs>
          <w:tab w:val="left" w:pos="1494"/>
        </w:tabs>
        <w:ind w:left="227" w:firstLine="907"/>
      </w:pPr>
      <w:rPr>
        <w:rFonts w:hint="default" w:ascii="Symbol" w:hAnsi="Symbol"/>
      </w:rPr>
    </w:lvl>
  </w:abstractNum>
  <w:abstractNum w:abstractNumId="9">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D0D21C"/>
    <w:multiLevelType w:val="singleLevel"/>
    <w:tmpl w:val="46D0D21C"/>
    <w:lvl w:ilvl="0" w:tentative="0">
      <w:start w:val="1"/>
      <w:numFmt w:val="decimal"/>
      <w:lvlText w:val="%1."/>
      <w:lvlJc w:val="left"/>
      <w:pPr>
        <w:tabs>
          <w:tab w:val="left" w:pos="312"/>
        </w:tabs>
      </w:pPr>
    </w:lvl>
  </w:abstractNum>
  <w:abstractNum w:abstractNumId="12">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2426B29"/>
    <w:multiLevelType w:val="multilevel"/>
    <w:tmpl w:val="52426B29"/>
    <w:lvl w:ilvl="0" w:tentative="0">
      <w:start w:val="1"/>
      <w:numFmt w:val="decimal"/>
      <w:pStyle w:val="103"/>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6">
    <w:nsid w:val="5704DA02"/>
    <w:multiLevelType w:val="singleLevel"/>
    <w:tmpl w:val="5704DA02"/>
    <w:lvl w:ilvl="0" w:tentative="0">
      <w:start w:val="10"/>
      <w:numFmt w:val="decimal"/>
      <w:lvlText w:val="%1."/>
      <w:lvlJc w:val="left"/>
    </w:lvl>
  </w:abstractNum>
  <w:abstractNum w:abstractNumId="17">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146DC0"/>
    <w:multiLevelType w:val="multilevel"/>
    <w:tmpl w:val="70146DC0"/>
    <w:lvl w:ilvl="0" w:tentative="0">
      <w:start w:val="1"/>
      <w:numFmt w:val="bullet"/>
      <w:pStyle w:val="116"/>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9">
    <w:nsid w:val="7BC330F5"/>
    <w:multiLevelType w:val="multilevel"/>
    <w:tmpl w:val="7BC330F5"/>
    <w:lvl w:ilvl="0" w:tentative="0">
      <w:start w:val="1"/>
      <w:numFmt w:val="bullet"/>
      <w:pStyle w:val="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0"/>
  </w:num>
  <w:num w:numId="4">
    <w:abstractNumId w:val="17"/>
  </w:num>
  <w:num w:numId="5">
    <w:abstractNumId w:val="6"/>
  </w:num>
  <w:num w:numId="6">
    <w:abstractNumId w:val="9"/>
  </w:num>
  <w:num w:numId="7">
    <w:abstractNumId w:val="12"/>
  </w:num>
  <w:num w:numId="8">
    <w:abstractNumId w:val="7"/>
  </w:num>
  <w:num w:numId="9">
    <w:abstractNumId w:val="13"/>
  </w:num>
  <w:num w:numId="10">
    <w:abstractNumId w:val="19"/>
  </w:num>
  <w:num w:numId="11">
    <w:abstractNumId w:val="15"/>
  </w:num>
  <w:num w:numId="12">
    <w:abstractNumId w:val="18"/>
  </w:num>
  <w:num w:numId="13">
    <w:abstractNumId w:val="14"/>
  </w:num>
  <w:num w:numId="14">
    <w:abstractNumId w:val="8"/>
  </w:num>
  <w:num w:numId="15">
    <w:abstractNumId w:val="11"/>
  </w:num>
  <w:num w:numId="16">
    <w:abstractNumId w:val="2"/>
  </w:num>
  <w:num w:numId="17">
    <w:abstractNumId w:val="16"/>
  </w:num>
  <w:num w:numId="18">
    <w:abstractNumId w:val="0"/>
  </w:num>
  <w:num w:numId="19">
    <w:abstractNumId w:val="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45D4251"/>
    <w:rsid w:val="049E52A6"/>
    <w:rsid w:val="05960909"/>
    <w:rsid w:val="074D66CE"/>
    <w:rsid w:val="07934F7B"/>
    <w:rsid w:val="08971832"/>
    <w:rsid w:val="0A066149"/>
    <w:rsid w:val="0A0C35ED"/>
    <w:rsid w:val="0BB85A80"/>
    <w:rsid w:val="0D986571"/>
    <w:rsid w:val="11CF6A61"/>
    <w:rsid w:val="136479F4"/>
    <w:rsid w:val="13984D29"/>
    <w:rsid w:val="15273D43"/>
    <w:rsid w:val="17263761"/>
    <w:rsid w:val="17CB2E65"/>
    <w:rsid w:val="17F57C9F"/>
    <w:rsid w:val="18D57CCC"/>
    <w:rsid w:val="1B374B68"/>
    <w:rsid w:val="1B6D1F56"/>
    <w:rsid w:val="1BC26608"/>
    <w:rsid w:val="1E9056EF"/>
    <w:rsid w:val="1FB551F0"/>
    <w:rsid w:val="1FEA526B"/>
    <w:rsid w:val="1FEE695B"/>
    <w:rsid w:val="203330E1"/>
    <w:rsid w:val="207E5ADF"/>
    <w:rsid w:val="20E64474"/>
    <w:rsid w:val="211E4363"/>
    <w:rsid w:val="225902C4"/>
    <w:rsid w:val="22592A24"/>
    <w:rsid w:val="22D84D4A"/>
    <w:rsid w:val="23B35432"/>
    <w:rsid w:val="25564A10"/>
    <w:rsid w:val="25E85D30"/>
    <w:rsid w:val="25EC6933"/>
    <w:rsid w:val="26A56FD4"/>
    <w:rsid w:val="27532F3B"/>
    <w:rsid w:val="296F5A87"/>
    <w:rsid w:val="2A015241"/>
    <w:rsid w:val="2A6D7A05"/>
    <w:rsid w:val="2B216025"/>
    <w:rsid w:val="2CDD53B3"/>
    <w:rsid w:val="2EF54BB9"/>
    <w:rsid w:val="2F410E7B"/>
    <w:rsid w:val="31594282"/>
    <w:rsid w:val="315F400E"/>
    <w:rsid w:val="31E91F1F"/>
    <w:rsid w:val="33DC7D6A"/>
    <w:rsid w:val="35C34243"/>
    <w:rsid w:val="36EB624B"/>
    <w:rsid w:val="38240A52"/>
    <w:rsid w:val="3A064243"/>
    <w:rsid w:val="3AB82FDF"/>
    <w:rsid w:val="3BE52761"/>
    <w:rsid w:val="3BF875AB"/>
    <w:rsid w:val="3CEF24BF"/>
    <w:rsid w:val="3D6C528D"/>
    <w:rsid w:val="3EC66663"/>
    <w:rsid w:val="40526747"/>
    <w:rsid w:val="44516AA1"/>
    <w:rsid w:val="45B96DA7"/>
    <w:rsid w:val="46CE2624"/>
    <w:rsid w:val="471D4A8B"/>
    <w:rsid w:val="47CF4CBD"/>
    <w:rsid w:val="48BE62E5"/>
    <w:rsid w:val="4A681188"/>
    <w:rsid w:val="4BB1325C"/>
    <w:rsid w:val="4C8927EB"/>
    <w:rsid w:val="4CFF1952"/>
    <w:rsid w:val="4E5B4D57"/>
    <w:rsid w:val="4EF75830"/>
    <w:rsid w:val="4F2D48C4"/>
    <w:rsid w:val="4F716A63"/>
    <w:rsid w:val="4F9D33AA"/>
    <w:rsid w:val="5045033F"/>
    <w:rsid w:val="50554986"/>
    <w:rsid w:val="506C0C4E"/>
    <w:rsid w:val="51193B9B"/>
    <w:rsid w:val="51600C34"/>
    <w:rsid w:val="51D34289"/>
    <w:rsid w:val="53AE55F7"/>
    <w:rsid w:val="55901067"/>
    <w:rsid w:val="560663C5"/>
    <w:rsid w:val="58CB0962"/>
    <w:rsid w:val="59D61179"/>
    <w:rsid w:val="5A6D1717"/>
    <w:rsid w:val="5A83719B"/>
    <w:rsid w:val="5AD738D5"/>
    <w:rsid w:val="5CA81980"/>
    <w:rsid w:val="5D625B10"/>
    <w:rsid w:val="5D8C69D3"/>
    <w:rsid w:val="5F702B80"/>
    <w:rsid w:val="605B580B"/>
    <w:rsid w:val="60A7051F"/>
    <w:rsid w:val="60BF2442"/>
    <w:rsid w:val="60DD0BAD"/>
    <w:rsid w:val="62A16505"/>
    <w:rsid w:val="63746868"/>
    <w:rsid w:val="63E14B3E"/>
    <w:rsid w:val="647C37F5"/>
    <w:rsid w:val="64BD33A1"/>
    <w:rsid w:val="66C327FA"/>
    <w:rsid w:val="67CA1877"/>
    <w:rsid w:val="6A4D40CB"/>
    <w:rsid w:val="6A4E32D2"/>
    <w:rsid w:val="6BD9660A"/>
    <w:rsid w:val="6BEE35CC"/>
    <w:rsid w:val="6CBB3DE1"/>
    <w:rsid w:val="6DCA3B30"/>
    <w:rsid w:val="70B66BEB"/>
    <w:rsid w:val="71DE3CE7"/>
    <w:rsid w:val="74C344CD"/>
    <w:rsid w:val="74D0727A"/>
    <w:rsid w:val="7581598A"/>
    <w:rsid w:val="75E9182E"/>
    <w:rsid w:val="76925D60"/>
    <w:rsid w:val="76CD744C"/>
    <w:rsid w:val="77B72A76"/>
    <w:rsid w:val="7B795FAE"/>
    <w:rsid w:val="7B9F20D5"/>
    <w:rsid w:val="7C3D17EF"/>
    <w:rsid w:val="7CD90610"/>
    <w:rsid w:val="7CF61B59"/>
    <w:rsid w:val="7DEB5D59"/>
    <w:rsid w:val="7F1F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3"/>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29"/>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4"/>
    <w:qFormat/>
    <w:uiPriority w:val="0"/>
  </w:style>
  <w:style w:type="paragraph" w:styleId="15">
    <w:name w:val="caption"/>
    <w:basedOn w:val="1"/>
    <w:next w:val="1"/>
    <w:link w:val="93"/>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0"/>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table" w:styleId="42">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1"/>
    <w:next w:val="1"/>
    <w:qFormat/>
    <w:uiPriority w:val="99"/>
    <w:pPr>
      <w:ind w:left="1418" w:hanging="1418"/>
      <w:jc w:val="left"/>
    </w:pPr>
    <w:rPr>
      <w:b/>
    </w:rPr>
  </w:style>
  <w:style w:type="paragraph" w:styleId="44">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5">
    <w:name w:val="toc 2"/>
    <w:basedOn w:val="44"/>
    <w:semiHidden/>
    <w:qFormat/>
    <w:uiPriority w:val="0"/>
    <w:pPr>
      <w:keepNext w:val="0"/>
      <w:spacing w:before="0"/>
      <w:ind w:left="851" w:hanging="851"/>
    </w:pPr>
    <w:rPr>
      <w:szCs w:val="20"/>
    </w:rPr>
  </w:style>
  <w:style w:type="paragraph" w:styleId="46">
    <w:name w:val="toc 3"/>
    <w:basedOn w:val="45"/>
    <w:semiHidden/>
    <w:qFormat/>
    <w:uiPriority w:val="0"/>
    <w:pPr>
      <w:ind w:left="1134" w:hanging="1134"/>
    </w:pPr>
  </w:style>
  <w:style w:type="paragraph" w:styleId="47">
    <w:name w:val="toc 4"/>
    <w:basedOn w:val="46"/>
    <w:semiHidden/>
    <w:qFormat/>
    <w:uiPriority w:val="0"/>
    <w:pPr>
      <w:ind w:left="1418" w:hanging="1418"/>
    </w:pPr>
  </w:style>
  <w:style w:type="paragraph" w:styleId="48">
    <w:name w:val="toc 5"/>
    <w:basedOn w:val="47"/>
    <w:semiHidden/>
    <w:qFormat/>
    <w:uiPriority w:val="0"/>
    <w:pPr>
      <w:tabs>
        <w:tab w:val="right" w:pos="1701"/>
      </w:tabs>
      <w:ind w:left="1701" w:hanging="1701"/>
    </w:pPr>
  </w:style>
  <w:style w:type="paragraph" w:styleId="49">
    <w:name w:val="toc 6"/>
    <w:basedOn w:val="48"/>
    <w:next w:val="1"/>
    <w:semiHidden/>
    <w:qFormat/>
    <w:uiPriority w:val="0"/>
    <w:pPr>
      <w:ind w:left="1985" w:hanging="1985"/>
    </w:pPr>
  </w:style>
  <w:style w:type="paragraph" w:styleId="50">
    <w:name w:val="toc 7"/>
    <w:basedOn w:val="49"/>
    <w:next w:val="1"/>
    <w:semiHidden/>
    <w:qFormat/>
    <w:uiPriority w:val="0"/>
    <w:pPr>
      <w:ind w:left="2268" w:hanging="2268"/>
    </w:pPr>
  </w:style>
  <w:style w:type="paragraph" w:styleId="51">
    <w:name w:val="toc 8"/>
    <w:basedOn w:val="44"/>
    <w:semiHidden/>
    <w:qFormat/>
    <w:uiPriority w:val="0"/>
    <w:pPr>
      <w:spacing w:before="180"/>
      <w:ind w:left="2693" w:hanging="2693"/>
    </w:pPr>
    <w:rPr>
      <w:b w:val="0"/>
      <w:bCs/>
    </w:rPr>
  </w:style>
  <w:style w:type="paragraph" w:styleId="52">
    <w:name w:val="toc 9"/>
    <w:basedOn w:val="51"/>
    <w:semiHidden/>
    <w:qFormat/>
    <w:uiPriority w:val="0"/>
    <w:pPr>
      <w:ind w:left="1418" w:hanging="1418"/>
    </w:pPr>
  </w:style>
  <w:style w:type="paragraph" w:customStyle="1" w:styleId="53">
    <w:name w:val="Figure"/>
    <w:basedOn w:val="1"/>
    <w:next w:val="15"/>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character" w:customStyle="1" w:styleId="58">
    <w:name w:val="标题 1 字符"/>
    <w:link w:val="2"/>
    <w:qFormat/>
    <w:uiPriority w:val="0"/>
    <w:rPr>
      <w:rFonts w:ascii="Arial" w:hAnsi="Arial" w:cs="Arial"/>
      <w:sz w:val="36"/>
      <w:szCs w:val="36"/>
      <w:lang w:val="en-GB"/>
    </w:rPr>
  </w:style>
  <w:style w:type="paragraph" w:customStyle="1" w:styleId="59">
    <w:name w:val="B1"/>
    <w:basedOn w:val="28"/>
    <w:link w:val="88"/>
    <w:qFormat/>
    <w:uiPriority w:val="0"/>
    <w:pPr>
      <w:spacing w:after="180"/>
      <w:jc w:val="left"/>
    </w:pPr>
    <w:rPr>
      <w:lang w:eastAsia="en-US"/>
    </w:rPr>
  </w:style>
  <w:style w:type="paragraph" w:customStyle="1" w:styleId="60">
    <w:name w:val="B2"/>
    <w:basedOn w:val="29"/>
    <w:link w:val="89"/>
    <w:qFormat/>
    <w:uiPriority w:val="0"/>
    <w:pPr>
      <w:spacing w:after="180"/>
      <w:jc w:val="left"/>
    </w:pPr>
    <w:rPr>
      <w:lang w:eastAsia="en-US"/>
    </w:rPr>
  </w:style>
  <w:style w:type="paragraph" w:customStyle="1" w:styleId="61">
    <w:name w:val="B3"/>
    <w:basedOn w:val="30"/>
    <w:link w:val="90"/>
    <w:qFormat/>
    <w:uiPriority w:val="0"/>
    <w:pPr>
      <w:spacing w:after="180"/>
      <w:jc w:val="left"/>
    </w:pPr>
    <w:rPr>
      <w:lang w:eastAsia="en-US"/>
    </w:rPr>
  </w:style>
  <w:style w:type="paragraph" w:customStyle="1" w:styleId="62">
    <w:name w:val="B4"/>
    <w:basedOn w:val="31"/>
    <w:link w:val="127"/>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character" w:customStyle="1" w:styleId="64">
    <w:name w:val="正文文本 字符"/>
    <w:link w:val="14"/>
    <w:qFormat/>
    <w:uiPriority w:val="0"/>
    <w:rPr>
      <w:rFonts w:ascii="Arial" w:hAnsi="Arial"/>
      <w:lang w:val="en-GB"/>
    </w:rPr>
  </w:style>
  <w:style w:type="paragraph" w:customStyle="1" w:styleId="65">
    <w:name w:val="B5"/>
    <w:basedOn w:val="32"/>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115"/>
    <w:qFormat/>
    <w:uiPriority w:val="0"/>
    <w:pPr>
      <w:keepNext/>
      <w:keepLines/>
      <w:spacing w:after="0"/>
      <w:jc w:val="left"/>
    </w:pPr>
    <w:rPr>
      <w:sz w:val="18"/>
      <w:lang w:eastAsia="en-US"/>
    </w:rPr>
  </w:style>
  <w:style w:type="paragraph" w:customStyle="1" w:styleId="69">
    <w:name w:val="TAC"/>
    <w:basedOn w:val="68"/>
    <w:link w:val="101"/>
    <w:qFormat/>
    <w:uiPriority w:val="0"/>
    <w:pPr>
      <w:jc w:val="center"/>
    </w:pPr>
  </w:style>
  <w:style w:type="paragraph" w:customStyle="1" w:styleId="70">
    <w:name w:val="TAH"/>
    <w:basedOn w:val="69"/>
    <w:link w:val="102"/>
    <w:qFormat/>
    <w:uiPriority w:val="0"/>
    <w:rPr>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6"/>
    <w:qFormat/>
    <w:uiPriority w:val="0"/>
    <w:pPr>
      <w:keepNext w:val="0"/>
      <w:spacing w:before="0" w:after="240"/>
    </w:pPr>
  </w:style>
  <w:style w:type="paragraph" w:customStyle="1" w:styleId="75">
    <w:name w:val="TT"/>
    <w:basedOn w:val="2"/>
    <w:next w:val="1"/>
    <w:qFormat/>
    <w:uiPriority w:val="0"/>
    <w:pPr>
      <w:numPr>
        <w:numId w:val="0"/>
      </w:numPr>
      <w:ind w:left="1134" w:hanging="1134"/>
      <w:outlineLvl w:val="9"/>
    </w:pPr>
    <w:rPr>
      <w:rFonts w:cs="Times New Roman"/>
      <w:szCs w:val="20"/>
      <w:lang w:eastAsia="en-US"/>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0">
    <w:name w:val="ZGSM"/>
    <w:qFormat/>
    <w:uiPriority w:val="0"/>
  </w:style>
  <w:style w:type="paragraph" w:customStyle="1" w:styleId="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3">
    <w:name w:val="ZTD"/>
    <w:basedOn w:val="77"/>
    <w:qFormat/>
    <w:uiPriority w:val="0"/>
    <w:pPr>
      <w:framePr w:hRule="auto" w:y="852"/>
    </w:pPr>
    <w:rPr>
      <w:i w:val="0"/>
      <w:sz w:val="40"/>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5">
    <w:name w:val="ZV"/>
    <w:basedOn w:val="84"/>
    <w:qFormat/>
    <w:uiPriority w:val="0"/>
    <w:pPr>
      <w:framePr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3"/>
    <w:qFormat/>
    <w:uiPriority w:val="0"/>
    <w:pPr>
      <w:numPr>
        <w:ilvl w:val="0"/>
        <w:numId w:val="9"/>
      </w:numPr>
    </w:pPr>
  </w:style>
  <w:style w:type="character" w:customStyle="1" w:styleId="88">
    <w:name w:val="B1 Char"/>
    <w:link w:val="59"/>
    <w:qFormat/>
    <w:uiPriority w:val="0"/>
    <w:rPr>
      <w:rFonts w:ascii="Arial" w:hAnsi="Arial"/>
      <w:lang w:val="en-GB" w:eastAsia="en-US"/>
    </w:rPr>
  </w:style>
  <w:style w:type="character" w:customStyle="1" w:styleId="89">
    <w:name w:val="B2 Char"/>
    <w:link w:val="60"/>
    <w:qFormat/>
    <w:uiPriority w:val="0"/>
    <w:rPr>
      <w:rFonts w:ascii="Arial" w:hAnsi="Arial"/>
      <w:lang w:val="en-GB" w:eastAsia="en-US"/>
    </w:rPr>
  </w:style>
  <w:style w:type="character" w:customStyle="1" w:styleId="90">
    <w:name w:val="B3 Char"/>
    <w:link w:val="61"/>
    <w:qFormat/>
    <w:uiPriority w:val="0"/>
    <w:rPr>
      <w:rFonts w:ascii="Arial" w:hAnsi="Arial"/>
      <w:lang w:val="en-GB" w:eastAsia="en-US"/>
    </w:rPr>
  </w:style>
  <w:style w:type="paragraph" w:customStyle="1" w:styleId="91">
    <w:name w:val="NO"/>
    <w:basedOn w:val="1"/>
    <w:link w:val="92"/>
    <w:qFormat/>
    <w:uiPriority w:val="0"/>
    <w:pPr>
      <w:keepLines/>
      <w:spacing w:after="180"/>
      <w:ind w:left="1135" w:hanging="851"/>
      <w:jc w:val="left"/>
    </w:pPr>
    <w:rPr>
      <w:rFonts w:ascii="Times New Roman" w:hAnsi="Times New Roman" w:eastAsia="Malgun Gothic"/>
      <w:lang w:eastAsia="ko-KR"/>
    </w:rPr>
  </w:style>
  <w:style w:type="character" w:customStyle="1" w:styleId="92">
    <w:name w:val="NO Char"/>
    <w:link w:val="91"/>
    <w:qFormat/>
    <w:uiPriority w:val="0"/>
    <w:rPr>
      <w:rFonts w:ascii="Times New Roman" w:hAnsi="Times New Roman" w:eastAsia="Malgun Gothic"/>
      <w:lang w:val="en-GB" w:eastAsia="ko-KR"/>
    </w:rPr>
  </w:style>
  <w:style w:type="character" w:customStyle="1" w:styleId="93">
    <w:name w:val="题注 字符"/>
    <w:link w:val="15"/>
    <w:qFormat/>
    <w:uiPriority w:val="0"/>
    <w:rPr>
      <w:rFonts w:ascii="Arial" w:hAnsi="Arial"/>
      <w:b/>
      <w:bCs/>
      <w:lang w:val="en-GB" w:eastAsia="zh-CN"/>
    </w:rPr>
  </w:style>
  <w:style w:type="paragraph" w:customStyle="1" w:styleId="94">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5">
    <w:name w:val="B1 Zchn"/>
    <w:qFormat/>
    <w:uiPriority w:val="0"/>
    <w:rPr>
      <w:rFonts w:ascii="Arial" w:hAnsi="Arial" w:eastAsia="MS Mincho" w:cs="Arial"/>
      <w:color w:val="0000FF"/>
      <w:kern w:val="2"/>
      <w:lang w:val="en-GB" w:eastAsia="en-US" w:bidi="ar-SA"/>
    </w:rPr>
  </w:style>
  <w:style w:type="paragraph" w:customStyle="1" w:styleId="96">
    <w:name w:val="Revision"/>
    <w:hidden/>
    <w:semiHidden/>
    <w:qFormat/>
    <w:uiPriority w:val="99"/>
    <w:rPr>
      <w:rFonts w:ascii="Arial" w:hAnsi="Arial" w:eastAsia="SimSun" w:cs="Times New Roman"/>
      <w:lang w:val="en-GB" w:eastAsia="zh-CN" w:bidi="ar-SA"/>
    </w:rPr>
  </w:style>
  <w:style w:type="paragraph" w:styleId="97">
    <w:name w:val="List Paragraph"/>
    <w:basedOn w:val="1"/>
    <w:link w:val="104"/>
    <w:qFormat/>
    <w:uiPriority w:val="34"/>
    <w:pPr>
      <w:ind w:left="720"/>
    </w:pPr>
  </w:style>
  <w:style w:type="paragraph" w:customStyle="1" w:styleId="98">
    <w:name w:val="Doc-text2"/>
    <w:basedOn w:val="1"/>
    <w:link w:val="99"/>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9">
    <w:name w:val="Doc-text2 Char"/>
    <w:link w:val="98"/>
    <w:qFormat/>
    <w:uiPriority w:val="0"/>
    <w:rPr>
      <w:rFonts w:ascii="Arial" w:hAnsi="Arial" w:eastAsia="MS Mincho"/>
      <w:szCs w:val="24"/>
      <w:lang w:val="en-GB" w:eastAsia="en-GB"/>
    </w:rPr>
  </w:style>
  <w:style w:type="character" w:customStyle="1" w:styleId="100">
    <w:name w:val="TH Char"/>
    <w:link w:val="73"/>
    <w:qFormat/>
    <w:uiPriority w:val="0"/>
    <w:rPr>
      <w:rFonts w:ascii="Arial" w:hAnsi="Arial"/>
      <w:b/>
      <w:lang w:val="en-GB"/>
    </w:rPr>
  </w:style>
  <w:style w:type="character" w:customStyle="1" w:styleId="101">
    <w:name w:val="TAC Char"/>
    <w:link w:val="69"/>
    <w:qFormat/>
    <w:uiPriority w:val="0"/>
    <w:rPr>
      <w:rFonts w:ascii="Arial" w:hAnsi="Arial"/>
      <w:sz w:val="18"/>
      <w:lang w:val="en-GB"/>
    </w:rPr>
  </w:style>
  <w:style w:type="character" w:customStyle="1" w:styleId="102">
    <w:name w:val="TAH Car"/>
    <w:link w:val="70"/>
    <w:qFormat/>
    <w:uiPriority w:val="0"/>
    <w:rPr>
      <w:rFonts w:ascii="Arial" w:hAnsi="Arial"/>
      <w:b/>
      <w:sz w:val="18"/>
      <w:lang w:val="en-GB"/>
    </w:rPr>
  </w:style>
  <w:style w:type="paragraph" w:customStyle="1" w:styleId="103">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4">
    <w:name w:val="列表段落 字符"/>
    <w:link w:val="97"/>
    <w:qFormat/>
    <w:locked/>
    <w:uiPriority w:val="34"/>
    <w:rPr>
      <w:rFonts w:ascii="Arial" w:hAnsi="Arial"/>
      <w:lang w:val="en-GB" w:eastAsia="zh-CN"/>
    </w:rPr>
  </w:style>
  <w:style w:type="character" w:customStyle="1" w:styleId="105">
    <w:name w:val="B1 Char1"/>
    <w:qFormat/>
    <w:uiPriority w:val="0"/>
    <w:rPr>
      <w:lang w:val="en-GB" w:eastAsia="en-US" w:bidi="ar-SA"/>
    </w:rPr>
  </w:style>
  <w:style w:type="character" w:customStyle="1" w:styleId="106">
    <w:name w:val="TF Char"/>
    <w:link w:val="74"/>
    <w:qFormat/>
    <w:uiPriority w:val="0"/>
    <w:rPr>
      <w:rFonts w:ascii="Arial" w:hAnsi="Arial"/>
      <w:b/>
      <w:lang w:val="en-GB"/>
    </w:rPr>
  </w:style>
  <w:style w:type="paragraph" w:customStyle="1" w:styleId="107">
    <w:name w:val="LGTdoc_본문"/>
    <w:basedOn w:val="1"/>
    <w:link w:val="108"/>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8">
    <w:name w:val="LGTdoc_본문 Char"/>
    <w:link w:val="107"/>
    <w:qFormat/>
    <w:uiPriority w:val="0"/>
    <w:rPr>
      <w:rFonts w:ascii="Times New Roman" w:hAnsi="Times New Roman" w:eastAsia="Batang"/>
      <w:kern w:val="2"/>
      <w:sz w:val="22"/>
      <w:szCs w:val="24"/>
      <w:lang w:val="en-GB" w:eastAsia="ko-KR"/>
    </w:rPr>
  </w:style>
  <w:style w:type="character" w:customStyle="1" w:styleId="109">
    <w:name w:val="B3 Char2"/>
    <w:qFormat/>
    <w:uiPriority w:val="0"/>
    <w:rPr>
      <w:rFonts w:eastAsia="Times New Roman"/>
      <w:lang w:eastAsia="ja-JP"/>
    </w:rPr>
  </w:style>
  <w:style w:type="character" w:customStyle="1" w:styleId="110">
    <w:name w:val="批注文字 字符"/>
    <w:link w:val="17"/>
    <w:qFormat/>
    <w:uiPriority w:val="99"/>
    <w:rPr>
      <w:rFonts w:ascii="Arial" w:hAnsi="Arial"/>
      <w:lang w:val="en-GB" w:eastAsia="zh-CN"/>
    </w:rPr>
  </w:style>
  <w:style w:type="paragraph" w:customStyle="1" w:styleId="111">
    <w:name w:val="CR Cover Page"/>
    <w:link w:val="112"/>
    <w:qFormat/>
    <w:uiPriority w:val="0"/>
    <w:pPr>
      <w:spacing w:after="120"/>
    </w:pPr>
    <w:rPr>
      <w:rFonts w:ascii="Arial" w:hAnsi="Arial" w:eastAsia="SimSun" w:cs="Times New Roman"/>
      <w:lang w:val="en-GB" w:eastAsia="en-US" w:bidi="ar-SA"/>
    </w:rPr>
  </w:style>
  <w:style w:type="character" w:customStyle="1" w:styleId="112">
    <w:name w:val="CR Cover Page Zchn"/>
    <w:link w:val="111"/>
    <w:qFormat/>
    <w:uiPriority w:val="0"/>
    <w:rPr>
      <w:rFonts w:ascii="Arial" w:hAnsi="Arial" w:eastAsia="SimSun"/>
      <w:lang w:val="en-GB"/>
    </w:rPr>
  </w:style>
  <w:style w:type="paragraph" w:customStyle="1" w:styleId="113">
    <w:name w:val="PL"/>
    <w:link w:val="11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4">
    <w:name w:val="PL Char"/>
    <w:link w:val="113"/>
    <w:qFormat/>
    <w:uiPriority w:val="0"/>
    <w:rPr>
      <w:rFonts w:ascii="Courier New" w:hAnsi="Courier New"/>
      <w:sz w:val="16"/>
      <w:shd w:val="clear" w:color="auto" w:fill="E6E6E6"/>
      <w:lang w:val="en-GB" w:eastAsia="en-GB"/>
    </w:rPr>
  </w:style>
  <w:style w:type="character" w:customStyle="1" w:styleId="115">
    <w:name w:val="TAL Car"/>
    <w:link w:val="68"/>
    <w:qFormat/>
    <w:uiPriority w:val="0"/>
    <w:rPr>
      <w:rFonts w:ascii="Arial" w:hAnsi="Arial"/>
      <w:sz w:val="18"/>
      <w:lang w:val="en-GB"/>
    </w:rPr>
  </w:style>
  <w:style w:type="paragraph" w:customStyle="1" w:styleId="116">
    <w:name w:val="Agreement"/>
    <w:basedOn w:val="1"/>
    <w:next w:val="98"/>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7">
    <w:name w:val="EmailDiscussion Char"/>
    <w:link w:val="118"/>
    <w:qFormat/>
    <w:locked/>
    <w:uiPriority w:val="0"/>
    <w:rPr>
      <w:rFonts w:ascii="Arial" w:hAnsi="Arial" w:eastAsia="MS Mincho" w:cs="Arial"/>
      <w:b/>
      <w:szCs w:val="24"/>
      <w:lang w:eastAsia="en-US"/>
    </w:rPr>
  </w:style>
  <w:style w:type="paragraph" w:customStyle="1" w:styleId="118">
    <w:name w:val="EmailDiscussion"/>
    <w:basedOn w:val="1"/>
    <w:next w:val="119"/>
    <w:link w:val="117"/>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19">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0">
    <w:name w:val="apple-tab-span"/>
    <w:basedOn w:val="11"/>
    <w:qFormat/>
    <w:uiPriority w:val="0"/>
  </w:style>
  <w:style w:type="paragraph" w:customStyle="1" w:styleId="121">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2">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3">
    <w:name w:val="标题 2 字符"/>
    <w:basedOn w:val="11"/>
    <w:link w:val="3"/>
    <w:qFormat/>
    <w:uiPriority w:val="0"/>
    <w:rPr>
      <w:rFonts w:ascii="Arial" w:hAnsi="Arial" w:cs="Arial"/>
      <w:sz w:val="32"/>
      <w:szCs w:val="32"/>
      <w:lang w:val="en-GB"/>
    </w:rPr>
  </w:style>
  <w:style w:type="character" w:customStyle="1" w:styleId="124">
    <w:name w:val="high-light"/>
    <w:basedOn w:val="11"/>
    <w:qFormat/>
    <w:uiPriority w:val="0"/>
  </w:style>
  <w:style w:type="character" w:customStyle="1" w:styleId="125">
    <w:name w:val="B2 Car"/>
    <w:basedOn w:val="11"/>
    <w:qFormat/>
    <w:uiPriority w:val="0"/>
  </w:style>
  <w:style w:type="character" w:customStyle="1" w:styleId="126">
    <w:name w:val="NO Zchn"/>
    <w:qFormat/>
    <w:uiPriority w:val="0"/>
    <w:rPr>
      <w:rFonts w:ascii="Times New Roman" w:hAnsi="Times New Roman" w:eastAsia="SimSun"/>
      <w:lang w:val="en-GB" w:eastAsia="ja-JP"/>
    </w:rPr>
  </w:style>
  <w:style w:type="character" w:customStyle="1" w:styleId="127">
    <w:name w:val="B4 Char"/>
    <w:link w:val="62"/>
    <w:qFormat/>
    <w:locked/>
    <w:uiPriority w:val="0"/>
    <w:rPr>
      <w:rFonts w:ascii="Arial" w:hAnsi="Arial"/>
      <w:lang w:val="en-GB" w:eastAsia="en-US"/>
    </w:rPr>
  </w:style>
  <w:style w:type="character" w:customStyle="1" w:styleId="128">
    <w:name w:val="CR Cover Page Char"/>
    <w:qFormat/>
    <w:uiPriority w:val="0"/>
    <w:rPr>
      <w:rFonts w:ascii="Arial" w:hAnsi="Arial"/>
      <w:lang w:val="en-GB" w:eastAsia="en-US" w:bidi="ar-SA"/>
    </w:rPr>
  </w:style>
  <w:style w:type="character" w:customStyle="1" w:styleId="129">
    <w:name w:val="标题 3 字符"/>
    <w:link w:val="4"/>
    <w:qFormat/>
    <w:uiPriority w:val="0"/>
    <w:rPr>
      <w:rFonts w:ascii="Arial" w:hAnsi="Arial" w:cs="Arial"/>
      <w:sz w:val="28"/>
      <w:szCs w:val="28"/>
      <w:lang w:val="en-GB"/>
    </w:rPr>
  </w:style>
  <w:style w:type="character" w:customStyle="1" w:styleId="130">
    <w:name w:val="ui-provider"/>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4B233F98-3720-4915-BED5-DA20EC376FDC}">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FD775F1D-F534-4A5E-A862-A594C6A0FD9F}">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4</Pages>
  <Words>3347</Words>
  <Characters>18439</Characters>
  <Lines>153</Lines>
  <Paragraphs>43</Paragraphs>
  <TotalTime>3</TotalTime>
  <ScaleCrop>false</ScaleCrop>
  <LinksUpToDate>false</LinksUpToDate>
  <CharactersWithSpaces>21743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2024-11-06T10:57:08Z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1033-12.2.0.18607</vt:lpwstr>
  </property>
  <property fmtid="{D5CDD505-2E9C-101B-9397-08002B2CF9AE}" pid="28" name="ICV">
    <vt:lpwstr>7E3A7474A963460B98309CE442112607_13</vt:lpwstr>
  </property>
</Properties>
</file>